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2025-03-04</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Receiver-operating characteristic (ROC), confusion matrix analysis and inter-rater reliability analyses were done with </w:t>
      </w:r>
      <w:r>
        <w:rPr>
          <w:i/>
          <w:iCs/>
        </w:rPr>
        <w:t>caret</w:t>
      </w:r>
      <w:r>
        <w:rPr/>
        <w:t xml:space="preserve"> (14), </w:t>
      </w:r>
      <w:r>
        <w:rPr>
          <w:i/>
          <w:iCs/>
        </w:rPr>
        <w:t>OptimalCutpoints</w:t>
      </w:r>
      <w:r>
        <w:rPr/>
        <w:t xml:space="preserve"> (15) and </w:t>
      </w:r>
      <w:hyperlink r:id="rId7">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(14) and </w:t>
      </w:r>
      <w:hyperlink r:id="rId8">
        <w:r>
          <w:rPr>
            <w:rStyle w:val="InternetLink"/>
            <w:i/>
            <w:iCs/>
          </w:rPr>
          <w:t>caretExtra</w:t>
        </w:r>
      </w:hyperlink>
      <w:r>
        <w:rPr/>
        <w:t xml:space="preserve"> were utilized, which provide wrappers around the R implementations of the random forest algorithm (</w:t>
      </w:r>
      <w:r>
        <w:rPr>
          <w:i/>
          <w:iCs/>
        </w:rPr>
        <w:t>ranger</w:t>
      </w:r>
      <w:r>
        <w:rPr/>
        <w:t>) (16,17), neural network (</w:t>
      </w:r>
      <w:r>
        <w:rPr>
          <w:i/>
          <w:iCs/>
        </w:rPr>
        <w:t>nnet</w:t>
      </w:r>
      <w:r>
        <w:rPr/>
        <w:t xml:space="preserve">) (18), support vector machines (SVM, </w:t>
      </w:r>
      <w:r>
        <w:rPr>
          <w:i/>
          <w:iCs/>
        </w:rPr>
        <w:t>kernlab</w:t>
      </w:r>
      <w:r>
        <w:rPr/>
        <w:t xml:space="preserve">) (19,20), and gradient boosted machines (GBM, </w:t>
      </w:r>
      <w:r>
        <w:rPr>
          <w:i/>
          <w:iCs/>
        </w:rPr>
        <w:t>gbm</w:t>
      </w:r>
      <w:r>
        <w:rPr/>
        <w:t xml:space="preserve">) (21–23). Model diagnostic statistics and performance evaluation metrics were computed with the development package </w:t>
      </w:r>
      <w:hyperlink r:id="rId9">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(24–26).</w:t>
      </w:r>
    </w:p>
    <w:p>
      <w:pPr>
        <w:pStyle w:val="TextBody"/>
        <w:rPr/>
      </w:pPr>
      <w:r>
        <w:rPr/>
        <w:t xml:space="preserve">Analysis results were visualized with </w:t>
      </w:r>
      <w:r>
        <w:rPr>
          <w:i/>
          <w:iCs/>
        </w:rPr>
        <w:t>ggplot</w:t>
      </w:r>
      <w:r>
        <w:rPr/>
        <w:t xml:space="preserve"> (6) and </w:t>
      </w:r>
      <w:hyperlink r:id="rId10">
        <w:r>
          <w:rPr>
            <w:rStyle w:val="InternetLink"/>
            <w:i/>
            <w:iCs/>
          </w:rPr>
          <w:t>ExDA</w:t>
        </w:r>
      </w:hyperlink>
      <w:r>
        <w:rPr/>
        <w:t xml:space="preserve"> (scatter, stack and box plots), </w:t>
      </w:r>
      <w:hyperlink r:id="rId11">
        <w:r>
          <w:rPr>
            <w:rStyle w:val="InternetLink"/>
            <w:i/>
            <w:iCs/>
          </w:rPr>
          <w:t>clustTools</w:t>
        </w:r>
      </w:hyperlink>
      <w:r>
        <w:rPr/>
        <w:t xml:space="preserve"> (visualization of results of correspondence analysis), </w:t>
      </w:r>
      <w:r>
        <w:rPr>
          <w:i/>
          <w:iCs/>
        </w:rPr>
        <w:t>ggvenn</w:t>
      </w:r>
      <w:r>
        <w:rPr/>
        <w:t xml:space="preserve"> (27) (Venn plots), </w:t>
      </w:r>
      <w:hyperlink r:id="rId12">
        <w:r>
          <w:rPr>
            <w:rStyle w:val="InternetLink"/>
            <w:i/>
            <w:iCs/>
          </w:rPr>
          <w:t>caretExtra</w:t>
        </w:r>
      </w:hyperlink>
      <w:r>
        <w:rPr/>
        <w:t xml:space="preserve"> (plots for machine learning model diagnostic and evaluation), </w:t>
      </w:r>
      <w:r>
        <w:rPr>
          <w:i/>
          <w:iCs/>
        </w:rPr>
        <w:t>plotROC</w:t>
      </w:r>
      <w:r>
        <w:rPr/>
        <w:t xml:space="preserve"> (28) (ROC curves) and </w:t>
      </w:r>
      <w:r>
        <w:rPr>
          <w:i/>
          <w:iCs/>
        </w:rPr>
        <w:t>shapviz</w:t>
      </w:r>
      <w:r>
        <w:rPr/>
        <w:t xml:space="preserve"> (26,29) (violin/scatter plots of absolute SHAP values). Result tables were created with </w:t>
      </w:r>
      <w:r>
        <w:rPr>
          <w:i/>
          <w:iCs/>
        </w:rPr>
        <w:t>flextable</w:t>
      </w:r>
      <w:r>
        <w:rPr/>
        <w:t xml:space="preserve"> (30). Figures were generated with </w:t>
      </w:r>
      <w:r>
        <w:rPr>
          <w:i/>
          <w:iCs/>
        </w:rPr>
        <w:t>cowplot</w:t>
      </w:r>
      <w:r>
        <w:rPr/>
        <w:t xml:space="preserve"> (31). Parts of the manuscript and supplementary material were written in the </w:t>
      </w:r>
      <w:r>
        <w:rPr>
          <w:i/>
          <w:iCs/>
        </w:rPr>
        <w:t>rmarkdown</w:t>
      </w:r>
      <w:r>
        <w:rPr/>
        <w:t xml:space="preserve"> environment (32) with the </w:t>
      </w:r>
      <w:r>
        <w:rPr>
          <w:i/>
          <w:iCs/>
        </w:rPr>
        <w:t>bookdown</w:t>
      </w:r>
      <w:r>
        <w:rPr/>
        <w:t xml:space="preserve"> package (33). Figures, tables, links and R expressions in the Rmarkdown document were managed with </w:t>
      </w:r>
      <w:hyperlink r:id="rId13">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(34). Effects with p &lt; 0.05 were considered significant.</w:t>
      </w:r>
    </w:p>
    <w:p>
      <w:pPr>
        <w:pStyle w:val="TextBody"/>
        <w:rPr/>
      </w:pPr>
      <w:r>
        <w:rPr/>
        <w:t>The following effect size metrics were used to assess differences between analysis groups and to evaluate performance of machine learning models (35–37):</w:t>
      </w:r>
    </w:p>
    <w:p>
      <w:pPr>
        <w:pStyle w:val="Normal"/>
        <w:numPr>
          <w:ilvl w:val="0"/>
          <w:numId w:val="6"/>
        </w:numPr>
        <w:rPr/>
      </w:pPr>
      <w:r>
        <w:rPr/>
        <w:t xml:space="preserve">biserial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7"/>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8"/>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9"/>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1"/>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4">
        <w:r>
          <w:rPr>
            <w:rStyle w:val="InternetLink"/>
            <w:i/>
            <w:iCs/>
          </w:rPr>
          <w:t>ExDA</w:t>
        </w:r>
      </w:hyperlink>
      <w:r>
        <w:rPr/>
        <w:t xml:space="preserve">). Because of non-independent observations included in the analysis, pairwise correlations of numeric LFT or CT variables were investigated with blocked bootstrap Spearman’s rank test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5">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2"/>
        </w:numPr>
        <w:rPr/>
      </w:pPr>
      <w:r>
        <w:rPr/>
        <w:t>baseline demographic and clinical characteristic (e.g. age, sex, smoking, comorbidities)</w:t>
      </w:r>
    </w:p>
    <w:p>
      <w:pPr>
        <w:pStyle w:val="Normal"/>
        <w:numPr>
          <w:ilvl w:val="0"/>
          <w:numId w:val="13"/>
        </w:numPr>
        <w:rPr/>
      </w:pPr>
      <w:r>
        <w:rPr/>
        <w:t>explanatory variables referring to the course of acute COVID-19 (e.g. WHO ordinal scale for clinical improvement, hospitalization status and length, treatment)</w:t>
      </w:r>
    </w:p>
    <w:p>
      <w:pPr>
        <w:pStyle w:val="Normal"/>
        <w:numPr>
          <w:ilvl w:val="0"/>
          <w:numId w:val="14"/>
        </w:numPr>
        <w:rPr/>
      </w:pPr>
      <w:r>
        <w:rPr/>
        <w:t>follow-up after COVID-19 diagnosis (two, three, six and twelve months)</w:t>
      </w:r>
    </w:p>
    <w:p>
      <w:pPr>
        <w:pStyle w:val="Normal"/>
        <w:numPr>
          <w:ilvl w:val="0"/>
          <w:numId w:val="15"/>
        </w:numPr>
        <w:rPr/>
      </w:pPr>
      <w:r>
        <w:rPr/>
        <w:t>presence and rating of longitudinally recorded symptoms of relevance for lung function (dyspnea, cough, impaired physical performance)</w:t>
      </w:r>
    </w:p>
    <w:p>
      <w:pPr>
        <w:pStyle w:val="Normal"/>
        <w:numPr>
          <w:ilvl w:val="0"/>
          <w:numId w:val="16"/>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7"/>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18"/>
        </w:numPr>
        <w:rPr/>
      </w:pPr>
      <w:r>
        <w:rPr>
          <w:i/>
          <w:iCs/>
        </w:rPr>
        <w:t>anti-coagulants during COVID-19</w:t>
      </w:r>
      <w:r>
        <w:rPr/>
        <w:t xml:space="preserve"> which subsumed anti-coagulation and anti-platelet treatment during acute COVID-19</w:t>
      </w:r>
    </w:p>
    <w:p>
      <w:pPr>
        <w:pStyle w:val="Normal"/>
        <w:numPr>
          <w:ilvl w:val="0"/>
          <w:numId w:val="19"/>
        </w:numPr>
        <w:rPr/>
      </w:pPr>
      <w:r>
        <w:rPr>
          <w:i/>
          <w:iCs/>
        </w:rPr>
        <w:t>anti-infectives during COVID-19</w:t>
      </w:r>
      <w:r>
        <w:rPr/>
        <w:t xml:space="preserve"> which subsumed anti-infective and anti-macrolide treatment during acute COVID-19</w:t>
      </w:r>
    </w:p>
    <w:p>
      <w:pPr>
        <w:pStyle w:val="Normal"/>
        <w:numPr>
          <w:ilvl w:val="0"/>
          <w:numId w:val="20"/>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(16,17), GBM (</w:t>
      </w:r>
      <w:r>
        <w:rPr>
          <w:i/>
          <w:iCs/>
        </w:rPr>
        <w:t>gbm</w:t>
      </w:r>
      <w:r>
        <w:rPr/>
        <w:t xml:space="preserve"> package, caret’s method name: ‘gbm’) (21–23), neural network with a single hidden layer (</w:t>
      </w:r>
      <w:r>
        <w:rPr>
          <w:i/>
          <w:iCs/>
        </w:rPr>
        <w:t>nnet</w:t>
      </w:r>
      <w:r>
        <w:rPr/>
        <w:t xml:space="preserve"> package, caret’s method name: ‘nnet’) (18), and SVM with radial kernel (</w:t>
      </w:r>
      <w:r>
        <w:rPr>
          <w:i/>
          <w:iCs/>
        </w:rPr>
        <w:t>kernlab</w:t>
      </w:r>
      <w:r>
        <w:rPr/>
        <w:t xml:space="preserve"> package, caret’s method name: ‘svmRadial’) (19,20). For random forest models, 1000 random trees per model were generated. Bernoulli and Gaussian loss functions were implemented in classification and regression GBM models, respectively. Optimal values of parameters controlling the algorithm’s behavior such as number of observations in terminal nodes of tree models in the random forest models or cost penalty in the SVM models were found by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classification models of binary LFT outcomes) or by minimizing mean absolute error (MAE, regression models of numeric LFT outcomes) in 10-repeats 10-fold cross-validation. To account for the participant matching of the observations, a blocked cross-validation workflow was designed to keep all observations obtained from a particular participant either in the training or in the test portion of the cross-validation split. Construction of such ‘participant-wise’ blocked cross-validation folds was done with an in-house-developed script employing the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(14). The optimal values of the tuning parameters are listed in </w:t>
      </w:r>
      <w:r>
        <w:rPr>
          <w:b/>
          <w:bCs/>
        </w:rPr>
        <w:t>Supplementary Table S6</w:t>
      </w:r>
      <w:r>
        <w:rPr/>
        <w:t>.</w:t>
      </w:r>
    </w:p>
    <w:p>
      <w:pPr>
        <w:pStyle w:val="TextBody"/>
        <w:rPr/>
      </w:pPr>
      <w:r>
        <w:rPr/>
        <w:t xml:space="preserve">Performance of the machine learning models was evaluated by comparison of the model predictions with the observed outcome in the genuine training data set and in 10-repeats 10-fold cross-validation with the observed outcomes. Performance of the classification models was assessed by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(35,37), standard receiver operating characteristic metrics (AUC, overall accuracy, sensitivity, specificity) to assess the ability of the model to detect the pathological outcome (14), and with Brier score to investigate credibility of the predictions and model calibration (38,39) (</w:t>
      </w:r>
      <w:r>
        <w:rPr>
          <w:b/>
          <w:bCs/>
        </w:rPr>
        <w:t>Table 2</w:t>
      </w:r>
      <w:r>
        <w:rPr/>
        <w:t xml:space="preserve"> and </w:t>
      </w:r>
      <w:r>
        <w:rPr>
          <w:b/>
          <w:bCs/>
        </w:rPr>
        <w:t>Supplementary Table S7</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(14) (</w:t>
      </w:r>
      <w:r>
        <w:rPr>
          <w:b/>
          <w:bCs/>
        </w:rPr>
        <w:t>Table 3</w:t>
      </w:r>
      <w:r>
        <w:rPr/>
        <w:t xml:space="preserve"> and </w:t>
      </w:r>
      <w:r>
        <w:rPr>
          <w:b/>
          <w:bCs/>
        </w:rPr>
        <w:t>Table 8</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6">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7">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(24,25).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(29).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(29). For mean absolute SHAP values of the most influential explanatory variables in the Random Forest, neural network, SVM, and GBM models, see: </w:t>
      </w:r>
      <w:r>
        <w:rPr>
          <w:b/>
          <w:bCs/>
        </w:rPr>
        <w:t>Table 9</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(26), and in-house developed functions.</w:t>
      </w:r>
      <w:bookmarkStart w:id="6" w:name="Xb461ea48926deed6ce1001c024a1e1c0769e9a3"/>
      <w:bookmarkEnd w:id="6"/>
    </w:p>
    <w:p>
      <w:pPr>
        <w:pStyle w:val="Heading2"/>
        <w:rPr/>
      </w:pPr>
      <w:r>
        <w:rPr/>
        <w:t>Comparison of CT readouts between observations with and without LFT abnormality, correlation analysis</w:t>
      </w:r>
    </w:p>
    <w:p>
      <w:pPr>
        <w:pStyle w:val="FirstParagraph"/>
        <w:rPr/>
      </w:pPr>
      <w:r>
        <w:rPr/>
        <w:t>Because observations were non-independent, i.e. participant-matched, comparison of CTSS, opacity and high opacity of the lung between data points with and without LFT abnormalities could not be investigated by standard statistical tests (e.g. Mann-Whitney test) and required instead a special approach. Differences in median of the CT parameters between observations with and without a LFT abnormality were investigated with blocked bootstrap test with biserial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interface implemented in the development package </w:t>
      </w:r>
      <w:hyperlink r:id="rId18">
        <w:r>
          <w:rPr>
            <w:rStyle w:val="InternetLink"/>
            <w:i/>
            <w:iCs/>
          </w:rPr>
          <w:t>bootStat</w:t>
        </w:r>
      </w:hyperlink>
      <w:r>
        <w:rPr/>
        <w:t xml:space="preserve">. The analysis results are listed in </w:t>
      </w:r>
      <w:r>
        <w:rPr>
          <w:b/>
          <w:bCs/>
        </w:rPr>
        <w:t>Supplementary Table S10</w:t>
      </w:r>
      <w:r>
        <w:rPr/>
        <w:t xml:space="preserve"> and </w:t>
      </w:r>
      <w:r>
        <w:rPr>
          <w:b/>
          <w:bCs/>
        </w:rPr>
        <w:t>11</w:t>
      </w:r>
      <w:r>
        <w:rPr/>
        <w:t>.</w:t>
      </w:r>
      <w:bookmarkStart w:id="7" w:name="X95f4b9e0997b3fdf86a66f6a20c59d1abf943d4"/>
      <w:bookmarkEnd w:id="7"/>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(15).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(35,37)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(14).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19">
        <w:r>
          <w:rPr>
            <w:rStyle w:val="InternetLink"/>
            <w:i/>
            <w:iCs/>
          </w:rPr>
          <w:t>bootStat</w:t>
        </w:r>
      </w:hyperlink>
      <w:r>
        <w:rPr/>
        <w:t xml:space="preserve">. The analysis results are listed in </w:t>
      </w:r>
      <w:r>
        <w:rPr>
          <w:b/>
          <w:bCs/>
        </w:rPr>
        <w:t>Table 4</w:t>
      </w:r>
      <w:r>
        <w:rPr/>
        <w:t>.</w:t>
      </w:r>
      <w:bookmarkStart w:id="8" w:name="X649e4c33dfb2deed5f5be2597f95b80eaf7c8aa"/>
      <w:bookmarkEnd w:id="8"/>
    </w:p>
    <w:p>
      <w:pPr>
        <w:pStyle w:val="Heading2"/>
        <w:rPr/>
      </w:pPr>
      <w:r>
        <w:rPr/>
        <w:t>Data and code availability</w:t>
      </w:r>
    </w:p>
    <w:p>
      <w:pPr>
        <w:pStyle w:val="FirstParagraph"/>
        <w:rPr/>
      </w:pPr>
      <w:r>
        <w:rPr/>
        <w:t xml:space="preserve">The entire R analysis pipeline is available as a </w:t>
      </w:r>
      <w:hyperlink r:id="rId20">
        <w:r>
          <w:rPr>
            <w:rStyle w:val="InternetLink"/>
          </w:rPr>
          <w:t>GitHub repository</w:t>
        </w:r>
      </w:hyperlink>
      <w:r>
        <w:rPr/>
        <w:t xml:space="preserve">. The </w:t>
      </w:r>
      <w:hyperlink r:id="rId21">
        <w:r>
          <w:rPr>
            <w:rStyle w:val="InternetLink"/>
          </w:rPr>
          <w:t>CovILD data set</w:t>
        </w:r>
      </w:hyperlink>
      <w:r>
        <w:rPr/>
        <w:t xml:space="preserve"> will be made available on reasonable request to the corresponding author.</w:t>
      </w:r>
    </w:p>
    <w:p>
      <w:pPr>
        <w:pStyle w:val="Normal"/>
        <w:rPr/>
      </w:pPr>
      <w:r>
        <w:rPr/>
      </w:r>
      <w:bookmarkStart w:id="9" w:name="supplementary-methods"/>
      <w:bookmarkStart w:id="10" w:name="data-and-code-availability"/>
      <w:bookmarkStart w:id="11" w:name="supplementary-methods"/>
      <w:bookmarkStart w:id="12" w:name="data-and-code-availability"/>
      <w:bookmarkEnd w:id="11"/>
      <w:bookmarkEnd w:id="12"/>
      <w:r>
        <w:br w:type="page"/>
      </w:r>
    </w:p>
    <w:p>
      <w:pPr>
        <w:pStyle w:val="Heading1"/>
        <w:rPr/>
      </w:pPr>
      <w:r>
        <w:rPr/>
        <w:t>Supplementary Tables</w:t>
      </w:r>
    </w:p>
    <w:p>
      <w:pPr>
        <w:pStyle w:val="TableCaption"/>
        <w:rPr/>
      </w:pPr>
      <w:r>
        <w:rPr/>
        <w:t>Table 1: Numbers of observations included in the analysis split by acute COVID-19 severity and the follow-up examination.</w:t>
      </w:r>
    </w:p>
    <w:tbl>
      <w:tblPr>
        <w:tblW w:w="9637"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985"/>
        <w:gridCol w:w="1984"/>
        <w:gridCol w:w="1983"/>
        <w:gridCol w:w="1985"/>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Ambulatory, mild COVID-19</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moderate COVID-19</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severe COVID-19</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27</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71</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24</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19</w:t>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46</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26</w:t>
            </w:r>
          </w:p>
        </w:tc>
      </w:tr>
    </w:tbl>
    <w:p>
      <w:pPr>
        <w:pStyle w:val="Normal"/>
        <w:rPr/>
      </w:pPr>
      <w:r>
        <w:rPr/>
      </w:r>
      <w:r>
        <w:br w:type="page"/>
      </w:r>
    </w:p>
    <w:p>
      <w:pPr>
        <w:pStyle w:val="TableCaption"/>
        <w:rPr/>
      </w:pPr>
      <w:r>
        <w:rPr/>
        <w:t>Table 2: Study variables.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TableCaption"/>
        <w:rPr/>
      </w:pPr>
      <w:r>
        <w:rPr/>
        <w:t>Table 3: Chest computed tomography variables at consecutive follow-ups. Numeric variables are presented as medians with interquartile ranges (IQR) and ranges. Categorical variables are presented as percentages and counts within the complete observation set.</w:t>
      </w:r>
    </w:p>
    <w:tbl>
      <w:tblPr>
        <w:tblW w:w="11679"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530"/>
        <w:gridCol w:w="2212"/>
        <w:gridCol w:w="2211"/>
        <w:gridCol w:w="2211"/>
        <w:gridCol w:w="221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1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21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85)</w:t>
              <w:br/>
              <w:t>complete: n = 120</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71)</w:t>
              <w:br/>
              <w:t>complete: n = 124</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54)</w:t>
              <w:br/>
              <w:t>complete: n = 85</w:t>
            </w:r>
          </w:p>
        </w:tc>
        <w:tc>
          <w:tcPr>
            <w:tcW w:w="221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49)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83)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66)</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44)</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40)</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61)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60)</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39)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1)</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12)</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7)</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(n = 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(n = 8)</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0 - 13]</w:t>
              <w:br/>
              <w:t>range: 0 - 20</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0 - 7.2]</w:t>
              <w:br/>
              <w:t>range: 0 - 18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w:t>
              <w:br/>
              <w:t>range: 0 - 15</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0 - 15</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0 - 2.7]</w:t>
              <w:br/>
              <w:t>range: 0 - 37</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0.074 [IQR: 0 - 0.86]</w:t>
              <w:br/>
              <w:t>range: 0 - 22</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 [IQR: 0 - 0.43]</w:t>
              <w:br/>
              <w:t>range: 0 - 12</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0 - 0.12]</w:t>
              <w:br/>
              <w:t>range: 0 - 6.2</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0 - 0.11]</w:t>
              <w:br/>
              <w:t>range: 0 - 3.1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 [IQR: 0 - 0.053]</w:t>
              <w:br/>
              <w:t>range: 0 - 2.4</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0 - 0.46</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0 - 0.11</w:t>
              <w:br/>
              <w:t>complete: n = 91</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7)</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7.4% (n = 2)</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1)</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0 - 9</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0 - 2.2]</w:t>
              <w:br/>
              <w:t>range: 0 - 5</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0 - 14</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0 - 0.025]</w:t>
              <w:br/>
              <w:t>range: 0 - 0.17</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0 - 0.16</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0 - 0.001]</w:t>
              <w:br/>
              <w:t>range: 0 - 1.9</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0 - 0.05</w:t>
              <w:br/>
              <w:t>complete: n = 19</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 (n = 57)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40)</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29)</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25)</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79% (n = 56)</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37)</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25)</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19)</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39)</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34)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(n = 24)</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(n = 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6)</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(n = 5)</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(n = 5)</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1.5 - 12]</w:t>
              <w:br/>
              <w:t>range: 0 - 20</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0 - 5.8]</w:t>
              <w:br/>
              <w:t>range: 0 - 13</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0 - 4.5]</w:t>
              <w:br/>
              <w:t>range: 0 - 13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0 - 2.8]</w:t>
              <w:br/>
              <w:t>range: 0 - 13</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 [IQR: 0.0055 - 2]</w:t>
              <w:br/>
              <w:t>range: 0 - 22</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0.057 [IQR: 0 - 0.59]</w:t>
              <w:br/>
              <w:t>range: 0 - 11</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 [IQR: 0 - 0.29]</w:t>
              <w:br/>
              <w:t>range: 0 - 12</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0 - 0.048]</w:t>
              <w:br/>
              <w:t>range: 0 - 2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0 - 0.053]</w:t>
              <w:br/>
              <w:t>range: 0 - 3.1</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5e-04 [IQR: 0 - 0.027]</w:t>
              <w:br/>
              <w:t>range: 0 - 2.4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0 - 0.46</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0 - 0.11</w:t>
              <w:br/>
              <w:t>complete: n = 46</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(n = 26)</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(n = 22)</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(n = 22)</w:t>
              <w:br/>
              <w:t>complete: n = 26</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25)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(n = 18)</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20)</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20)</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17)</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5)</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4)</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[IQR: 10 - 15]</w:t>
              <w:br/>
              <w:t>range: 0 - 20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5 - 15]</w:t>
              <w:br/>
              <w:t>range: 0 - 18</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2.8 - 10]</w:t>
              <w:br/>
              <w:t>range: 0 - 15</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2 - 11]</w:t>
              <w:br/>
              <w:t>range: 0 - 15</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0.34 - 9.3]</w:t>
              <w:br/>
              <w:t>range: 0 - 37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[IQR: 0.39 - 6.8]</w:t>
              <w:br/>
              <w:t>range: 0 - 22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0.32 [IQR: 0.042 - 2]</w:t>
              <w:br/>
              <w:t>range: 0 - 6.7</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0.28 [IQR: 0 - 0.67]</w:t>
              <w:br/>
              <w:t>range: 0 - 6.2</w:t>
              <w:br/>
              <w:t>complete: n = 26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0.066 - 0.81]</w:t>
              <w:br/>
              <w:t>range: 0 - 2.1</w:t>
              <w:br/>
              <w:t>complete: n = 22</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 [IQR: 0.011 - 0.26]</w:t>
              <w:br/>
              <w:t>range: 0 - 1</w:t>
              <w:br/>
              <w:t>complete: n = 29</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w:t>
              <w:br/>
              <w:t>range: 0 - 0.23</w:t>
              <w:br/>
              <w:t>complete: n = 24</w:t>
            </w:r>
          </w:p>
        </w:tc>
        <w:tc>
          <w:tcPr>
            <w:tcW w:w="221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0 - 0.02]</w:t>
              <w:br/>
              <w:t>range: 0 - 0.11</w:t>
              <w:br/>
              <w:t>complete: n = 26</w:t>
            </w:r>
          </w:p>
        </w:tc>
      </w:tr>
      <w:tr>
        <w:trPr>
          <w:trHeight w:val="360" w:hRule="atLeast"/>
        </w:trPr>
        <w:tc>
          <w:tcPr>
            <w:tcW w:w="11678"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Table 4: Lung function testing variables at consecutive follow-ups. Numeric variables are presented as medians with interquartile ranges (IQR) and ranges. Categorical variables are presented as percentages and counts within the complete observation set.</w:t>
      </w:r>
    </w:p>
    <w:tbl>
      <w:tblPr>
        <w:tblW w:w="11227"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531"/>
        <w:gridCol w:w="2099"/>
        <w:gridCol w:w="2098"/>
        <w:gridCol w:w="2097"/>
        <w:gridCol w:w="2098"/>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80 - 97]</w:t>
              <w:br/>
              <w:t>range: 46 - 130</w:t>
              <w:br/>
              <w:t>complete: n = 120</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83 - 97]</w:t>
              <w:br/>
              <w:t>range: 54 - 120</w:t>
              <w:br/>
              <w:t>complete: n = 124</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84 - 98]</w:t>
              <w:br/>
              <w:t>range: 50 - 120</w:t>
              <w:br/>
              <w:t>complete: n = 85</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84 - 99]</w:t>
              <w:br/>
              <w:t>range: 55 - 120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29)</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15)</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13)</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50 - 140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30 - 130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84 - 100]</w:t>
              <w:br/>
              <w:t>range: 30 - 130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84 - 110]</w:t>
              <w:br/>
              <w:t>range: 60 - 140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24)</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13)</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77 - 110]</w:t>
              <w:br/>
              <w:t>range: 44 - 140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83 - 110]</w:t>
              <w:br/>
              <w:t>range: 31 - 140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83 - 110]</w:t>
              <w:br/>
              <w:t>range: 32 - 140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86 - 110]</w:t>
              <w:br/>
              <w:t>range: 48 - 130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35)</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27)</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18)</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87 - 100]</w:t>
              <w:br/>
              <w:t>range: 46 - 110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87 - 100]</w:t>
              <w:br/>
              <w:t>range: 64 - 110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86 - 100]</w:t>
              <w:br/>
              <w:t>range: 64 - 110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86 - 100]</w:t>
              <w:br/>
              <w:t>range: 50 - 110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87 - 100]</w:t>
              <w:br/>
              <w:t>range: 65 - 120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70 - 110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88 - 100]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3)</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110 [IQR: 91 - 120]</w:t>
              <w:br/>
              <w:t>range: 52 - 140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96 - 110]</w:t>
              <w:br/>
              <w:t>range: 69 - 130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[IQR: 89 - 110]</w:t>
              <w:br/>
              <w:t>range: 77 - 130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92 - 110]</w:t>
              <w:br/>
              <w:t>range: 74 - 120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3)</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80 - 96]</w:t>
              <w:br/>
              <w:t>range: 46 - 130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84 - 98]</w:t>
              <w:br/>
              <w:t>range: 54 - 110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84 - 99]</w:t>
              <w:br/>
              <w:t>range: 50 - 120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85 - 99]</w:t>
              <w:br/>
              <w:t>range: 55 - 120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17)</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8)</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5)</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83 - 100]</w:t>
              <w:br/>
              <w:t>range: 60 - 140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85 - 100]</w:t>
              <w:br/>
              <w:t>range: 30 - 120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85 - 110]</w:t>
              <w:br/>
              <w:t>range: 30 - 130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87 - 110]</w:t>
              <w:br/>
              <w:t>range: 60 - 140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79 - 100]</w:t>
              <w:br/>
              <w:t>range: 52 - 120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85 - 110]</w:t>
              <w:br/>
              <w:t>range: 31 - 140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89 - 110]</w:t>
              <w:br/>
              <w:t>range: 32 - 140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87 - 110]</w:t>
              <w:br/>
              <w:t>range: 54 - 130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18)</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13)</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9)</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71 - 91]</w:t>
              <w:br/>
              <w:t>range: 58 - 110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71 - 91]</w:t>
              <w:br/>
              <w:t>range: 54 - 120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80 - 91]</w:t>
              <w:br/>
              <w:t>range: 61 - 110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83 - 93]</w:t>
              <w:br/>
              <w:t>range: 58 - 120</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75 - 97]</w:t>
              <w:br/>
              <w:t>range: 62 - 120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78 - 98]</w:t>
              <w:br/>
              <w:t>range: 60 - 130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83 - 95]</w:t>
              <w:br/>
              <w:t>range: 66 - 110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83 - 99]</w:t>
              <w:br/>
              <w:t>range: 63 - 120</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[IQR: 58 - 87]</w:t>
              <w:br/>
              <w:t>range: 44 - 130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72 - 90]</w:t>
              <w:br/>
              <w:t>range: 49 - 110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[IQR: 71 - 93]</w:t>
              <w:br/>
              <w:t>range: 50 - 110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 [IQR: 83 - 97]</w:t>
              <w:br/>
              <w:t>range: 48 - 120</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13)</w:t>
              <w:br/>
              <w:t>complete: n = 22</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7)</w:t>
              <w:br/>
              <w:t>complete: n = 24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1226"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Table 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680"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984"/>
        <w:gridCol w:w="2098"/>
        <w:gridCol w:w="2099"/>
        <w:gridCol w:w="2098"/>
        <w:gridCol w:w="2097"/>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120</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124</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85</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45% (n = 54)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42)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23)</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22)</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21)</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 [IQR: 0 - 1]</w:t>
              <w:br/>
              <w:t>range: 0 - 4</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62)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28)</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31)</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0 - 1.5]</w:t>
              <w:br/>
              <w:t>range: 0 - 4</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12)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7)</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27)</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(n = 24)</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9)</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10)</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0 - 1</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31)</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27)</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13)</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0 - 0.25]</w:t>
              <w:br/>
              <w:t>range: 0 - 4</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0 - 0.75]</w:t>
              <w:br/>
              <w:t>range: 0 - 1</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68% (n = 15)</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7)</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17)</w:t>
              <w:br/>
              <w:t>complete: n = 22</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18)</w:t>
              <w:br/>
              <w:t>complete: n = 29</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11)</w:t>
              <w:br/>
              <w:t>complete: n = 24</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11)</w:t>
              <w:br/>
              <w:t>complete: n = 26</w:t>
            </w:r>
          </w:p>
        </w:tc>
      </w:tr>
      <w:tr>
        <w:trPr>
          <w:trHeight w:val="360" w:hRule="atLeast"/>
        </w:trPr>
        <w:tc>
          <w:tcPr>
            <w:tcW w:w="1167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mMRC: modified Medical Research Council scale; ECOG: Eastern Cooperative Oncology Group performance scale.</w:t>
            </w:r>
          </w:p>
        </w:tc>
      </w:tr>
    </w:tbl>
    <w:p>
      <w:pPr>
        <w:pStyle w:val="Normal"/>
        <w:rPr/>
      </w:pPr>
      <w:r>
        <w:rPr/>
      </w:r>
      <w:r>
        <w:br w:type="page"/>
      </w:r>
    </w:p>
    <w:p>
      <w:pPr>
        <w:pStyle w:val="TableCaption"/>
        <w:rPr/>
      </w:pPr>
      <w:r>
        <w:rPr/>
        <w:t>Table 6: Selection of machine learning algorithm parameters by cross-validation-mediated tuning.</w:t>
      </w:r>
    </w:p>
    <w:tbl>
      <w:tblPr>
        <w:tblW w:w="6520"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2267"/>
        <w:gridCol w:w="2552"/>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p>
        </w:tc>
        <w:tc>
          <w:tcPr>
            <w:tcW w:w="255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Parameters</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6520"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bl>
    <w:p>
      <w:pPr>
        <w:pStyle w:val="Normal"/>
        <w:rPr/>
      </w:pPr>
      <w:r>
        <w:rPr/>
      </w:r>
      <w:r>
        <w:br w:type="page"/>
      </w:r>
    </w:p>
    <w:p>
      <w:pPr>
        <w:pStyle w:val="TableCaption"/>
        <w:rPr/>
      </w:pPr>
      <w:r>
        <w:rPr/>
        <w:t>Table 7: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Table 8: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w:t>
            </w:r>
            <w:r>
              <w:rPr>
                <w:rFonts w:eastAsia="Arial" w:cs="Arial"/>
                <w:b/>
                <w:i w:val="false"/>
                <w:color w:val="000000"/>
                <w:sz w:val="20"/>
                <w:szCs w:val="20"/>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Table 9: Mean values of SHAP (Shapley additive explanations) variable importance statistic for the models of reduced diffusion capacity for carbon monoxide and of diffusion capacity for carbon monoxide &lt; 80% of reference.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TableCaption"/>
        <w:rPr/>
      </w:pPr>
      <w:r>
        <w:rPr/>
        <w:t>Table 10: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abnormality</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Table 11: Correlation of LFT variables with chest computed tomography severity score, and AI-determined opacity and high opacity.</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417"/>
        <w:gridCol w:w="1020"/>
        <w:gridCol w:w="2269"/>
        <w:gridCol w:w="1531"/>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variable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N</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Correlation coeffcient</w:t>
            </w:r>
            <w:r>
              <w:rPr>
                <w:rFonts w:eastAsia="Arial" w:cs="Arial"/>
                <w:b/>
                <w:i w:val="false"/>
                <w:color w:val="000000"/>
                <w:sz w:val="20"/>
                <w:szCs w:val="20"/>
                <w:u w:val="none"/>
                <w:vertAlign w:val="superscript"/>
              </w:rPr>
              <w:t>c</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-0.44 [-0.56 - -0.3]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[-0.57 - -0.33]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[-0.56 - -0.36]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-0.074]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-0.3 [-0.42 - -0.18]</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-0.14 [-0.28 - 0.005]</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0.029</w:t>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-0.067]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0.0019</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-0.14]</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76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76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 lobes; opacity and high opacity, AI: opacity and high opacity of the lungs determined by artificial intelligence.</w:t>
            </w:r>
          </w:p>
        </w:tc>
      </w:tr>
      <w:tr>
        <w:trPr>
          <w:trHeight w:val="360" w:hRule="atLeast"/>
        </w:trPr>
        <w:tc>
          <w:tcPr>
            <w:tcW w:w="76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3" w:name="supplementary-tables"/>
      <w:bookmarkStart w:id="14" w:name="supplementary-tables"/>
      <w:bookmarkEnd w:id="14"/>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2"/>
                    <a:stretch>
                      <a:fillRect/>
                    </a:stretch>
                  </pic:blipFill>
                  <pic:spPr bwMode="auto">
                    <a:xfrm>
                      <a:off x="0" y="0"/>
                      <a:ext cx="5943600" cy="6934835"/>
                    </a:xfrm>
                    <a:prstGeom prst="rect">
                      <a:avLst/>
                    </a:prstGeom>
                  </pic:spPr>
                </pic:pic>
              </a:graphicData>
            </a:graphic>
          </wp:inline>
        </w:drawing>
      </w:r>
    </w:p>
    <w:p>
      <w:pPr>
        <w:pStyle w:val="ImageCaption"/>
        <w:rPr/>
      </w:pPr>
      <w:r>
        <w:rPr/>
        <w:t>Figure 1: Frequency of the most common abnormalities in computed tomography of the chest at the consecutive follow-ups in participants stratified by severity of acute COVID-19.</w:t>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3"/>
                    <a:stretch>
                      <a:fillRect/>
                    </a:stretch>
                  </pic:blipFill>
                  <pic:spPr bwMode="auto">
                    <a:xfrm>
                      <a:off x="0" y="0"/>
                      <a:ext cx="5943600" cy="6934835"/>
                    </a:xfrm>
                    <a:prstGeom prst="rect">
                      <a:avLst/>
                    </a:prstGeom>
                  </pic:spPr>
                </pic:pic>
              </a:graphicData>
            </a:graphic>
          </wp:inline>
        </w:drawing>
      </w:r>
    </w:p>
    <w:p>
      <w:pPr>
        <w:pStyle w:val="ImageCaption"/>
        <w:rPr/>
      </w:pPr>
      <w:r>
        <w:rPr/>
        <w:t>Figure 2: Time course of numeric computed tomography readouts at the consecutive follow-ups in participants stratified by severity of acute COVID-19.</w:t>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4"/>
                    <a:stretch>
                      <a:fillRect/>
                    </a:stretch>
                  </pic:blipFill>
                  <pic:spPr bwMode="auto">
                    <a:xfrm>
                      <a:off x="0" y="0"/>
                      <a:ext cx="5943600" cy="6934835"/>
                    </a:xfrm>
                    <a:prstGeom prst="rect">
                      <a:avLst/>
                    </a:prstGeom>
                  </pic:spPr>
                </pic:pic>
              </a:graphicData>
            </a:graphic>
          </wp:inline>
        </w:drawing>
      </w:r>
    </w:p>
    <w:p>
      <w:pPr>
        <w:pStyle w:val="ImageCaption"/>
        <w:rPr/>
      </w:pPr>
      <w:r>
        <w:rPr/>
        <w:t>Figure 3: Co-occurrence of abnormalities of chest computed tomography and correlation of computed tomography readouts in COVID-19 convalescents.</w:t>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5"/>
                    <a:stretch>
                      <a:fillRect/>
                    </a:stretch>
                  </pic:blipFill>
                  <pic:spPr bwMode="auto">
                    <a:xfrm>
                      <a:off x="0" y="0"/>
                      <a:ext cx="5943600" cy="6934835"/>
                    </a:xfrm>
                    <a:prstGeom prst="rect">
                      <a:avLst/>
                    </a:prstGeom>
                  </pic:spPr>
                </pic:pic>
              </a:graphicData>
            </a:graphic>
          </wp:inline>
        </w:drawing>
      </w:r>
    </w:p>
    <w:p>
      <w:pPr>
        <w:pStyle w:val="ImageCaption"/>
        <w:rPr/>
      </w:pPr>
      <w:r>
        <w:rPr/>
        <w:t>Figure 4: Frequency of lung function testing abnormalities at the consecutive follow-ups in participants stratified by severity of acute COVID-19.</w:t>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ImageCaption"/>
        <w:rPr/>
      </w:pPr>
      <w:r>
        <w:rPr/>
        <w:t>Figure 5: Time course of numeric lung function testing readouts at the consecutive follow-ups in participants stratified by severity of acute COVID-19.</w:t>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ImageCaption"/>
        <w:rPr/>
      </w:pPr>
      <w:r>
        <w:rPr/>
        <w:t>Figure 6: Co-occurrence of abnormalities of lung function testing and correlation of lung function readouts in COVID-19 convalescents.</w:t>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ImageCaption"/>
        <w:rPr/>
      </w:pPr>
      <w:r>
        <w:rPr/>
        <w:t>Figure 7: Frequency of persistent symptoms of relevance for lung function at the consecutive follow-ups in participants stratified by severity of acute COVID-19.</w:t>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29"/>
                    <a:stretch>
                      <a:fillRect/>
                    </a:stretch>
                  </pic:blipFill>
                  <pic:spPr bwMode="auto">
                    <a:xfrm>
                      <a:off x="0" y="0"/>
                      <a:ext cx="5943600" cy="4407535"/>
                    </a:xfrm>
                    <a:prstGeom prst="rect">
                      <a:avLst/>
                    </a:prstGeom>
                  </pic:spPr>
                </pic:pic>
              </a:graphicData>
            </a:graphic>
          </wp:inline>
        </w:drawing>
      </w:r>
    </w:p>
    <w:p>
      <w:pPr>
        <w:pStyle w:val="ImageCaption"/>
        <w:rPr/>
      </w:pPr>
      <w:r>
        <w:rPr/>
        <w:t>Figure 8: Modeling strategy.</w:t>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6603365"/>
            <wp:effectExtent l="0" t="0" r="0" b="0"/>
            <wp:docPr id="9" name="Image8" descr="Figure 9: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Evaluation of performance of machine learning classification models at prediction of insufficient forced vital capacity and forced expiratory volume in one second."/>
                    <pic:cNvPicPr>
                      <a:picLocks noChangeAspect="1" noChangeArrowheads="1"/>
                    </pic:cNvPicPr>
                  </pic:nvPicPr>
                  <pic:blipFill>
                    <a:blip r:embed="rId30"/>
                    <a:stretch>
                      <a:fillRect/>
                    </a:stretch>
                  </pic:blipFill>
                  <pic:spPr bwMode="auto">
                    <a:xfrm>
                      <a:off x="0" y="0"/>
                      <a:ext cx="5943600" cy="6603365"/>
                    </a:xfrm>
                    <a:prstGeom prst="rect">
                      <a:avLst/>
                    </a:prstGeom>
                  </pic:spPr>
                </pic:pic>
              </a:graphicData>
            </a:graphic>
          </wp:inline>
        </w:drawing>
      </w:r>
    </w:p>
    <w:p>
      <w:pPr>
        <w:pStyle w:val="ImageCaption"/>
        <w:rPr/>
      </w:pPr>
      <w:r>
        <w:rPr/>
        <w:t>Figure 9: Evaluation of performance of machine learning classification models at prediction of insufficient forced vital capacity and forced expiratory volume in one second.</w:t>
      </w:r>
    </w:p>
    <w:p>
      <w:pPr>
        <w:pStyle w:val="TextBody"/>
        <w:rPr/>
      </w:pPr>
      <w:r>
        <w:rPr>
          <w:b/>
          <w:bCs/>
        </w:rPr>
        <w:t>Supplementary Figure S9.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0" name="Image9" descr="Figure 10: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valuation of performance of machine learning regression models at prediction of forced vital capacity and forced expiratory volume in one second."/>
                    <pic:cNvPicPr>
                      <a:picLocks noChangeAspect="1" noChangeArrowheads="1"/>
                    </pic:cNvPicPr>
                  </pic:nvPicPr>
                  <pic:blipFill>
                    <a:blip r:embed="rId31"/>
                    <a:stretch>
                      <a:fillRect/>
                    </a:stretch>
                  </pic:blipFill>
                  <pic:spPr bwMode="auto">
                    <a:xfrm>
                      <a:off x="0" y="0"/>
                      <a:ext cx="5943600" cy="3136900"/>
                    </a:xfrm>
                    <a:prstGeom prst="rect">
                      <a:avLst/>
                    </a:prstGeom>
                  </pic:spPr>
                </pic:pic>
              </a:graphicData>
            </a:graphic>
          </wp:inline>
        </w:drawing>
      </w:r>
    </w:p>
    <w:p>
      <w:pPr>
        <w:pStyle w:val="ImageCaption"/>
        <w:rPr/>
      </w:pPr>
      <w:r>
        <w:rPr/>
        <w:t>Figure 10: Evaluation of performance of machine learning regression models at prediction of forced vital capacity and forced expiratory volume in one second.</w:t>
      </w:r>
    </w:p>
    <w:p>
      <w:pPr>
        <w:pStyle w:val="TextBody"/>
        <w:rPr/>
      </w:pPr>
      <w:r>
        <w:rPr>
          <w:b/>
          <w:bCs/>
        </w:rPr>
        <w:t>Supplementary Figure S10.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hen’s kappa and mean absolute error of the machine learning models of insufficiency and percentage of reference of diffusion capacity for carbon monoxide."/>
                    <pic:cNvPicPr>
                      <a:picLocks noChangeAspect="1" noChangeArrowheads="1"/>
                    </pic:cNvPicPr>
                  </pic:nvPicPr>
                  <pic:blipFill>
                    <a:blip r:embed="rId32"/>
                    <a:stretch>
                      <a:fillRect/>
                    </a:stretch>
                  </pic:blipFill>
                  <pic:spPr bwMode="auto">
                    <a:xfrm>
                      <a:off x="0" y="0"/>
                      <a:ext cx="5943600" cy="5943600"/>
                    </a:xfrm>
                    <a:prstGeom prst="rect">
                      <a:avLst/>
                    </a:prstGeom>
                  </pic:spPr>
                </pic:pic>
              </a:graphicData>
            </a:graphic>
          </wp:inline>
        </w:drawing>
      </w:r>
    </w:p>
    <w:p>
      <w:pPr>
        <w:pStyle w:val="ImageCaption"/>
        <w:rPr/>
      </w:pPr>
      <w:r>
        <w:rPr/>
        <w:t>Figure 11: Cohen’s kappa and mean absolute error of the machine learning models of insufficiency and percentage of reference of diffusion capacity for carbon monoxide.</w:t>
      </w:r>
    </w:p>
    <w:p>
      <w:pPr>
        <w:pStyle w:val="TextBody"/>
        <w:rPr/>
      </w:pPr>
      <w:r>
        <w:rPr>
          <w:b/>
          <w:bCs/>
        </w:rPr>
        <w:t xml:space="preserve">Supplementary Figure S11.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Learning curves of the gradient boosted machines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Learning curves of the gradient boosted machines models of insufficiency and percentage of reference of diffusion capacity for carbon monoxide."/>
                    <pic:cNvPicPr>
                      <a:picLocks noChangeAspect="1" noChangeArrowheads="1"/>
                    </pic:cNvPicPr>
                  </pic:nvPicPr>
                  <pic:blipFill>
                    <a:blip r:embed="rId33"/>
                    <a:stretch>
                      <a:fillRect/>
                    </a:stretch>
                  </pic:blipFill>
                  <pic:spPr bwMode="auto">
                    <a:xfrm>
                      <a:off x="0" y="0"/>
                      <a:ext cx="5943600" cy="5943600"/>
                    </a:xfrm>
                    <a:prstGeom prst="rect">
                      <a:avLst/>
                    </a:prstGeom>
                  </pic:spPr>
                </pic:pic>
              </a:graphicData>
            </a:graphic>
          </wp:inline>
        </w:drawing>
      </w:r>
    </w:p>
    <w:p>
      <w:pPr>
        <w:pStyle w:val="ImageCaption"/>
        <w:rPr/>
      </w:pPr>
      <w:r>
        <w:rPr/>
        <w:t>Figure 12: Learning curves of the gradient boosted machines models of insufficiency and percentage of reference of diffusion capacity for carbon monoxide.</w:t>
      </w:r>
    </w:p>
    <w:p>
      <w:pPr>
        <w:pStyle w:val="TextBody"/>
        <w:rPr/>
      </w:pPr>
      <w:r>
        <w:rPr>
          <w:b/>
          <w:bCs/>
        </w:rPr>
        <w:t>Figure 12. Learning curves of the gradient boosted machines models of insufficiency and percentage of reference of diffusion capacity for carbon monoxide.</w:t>
      </w:r>
    </w:p>
    <w:p>
      <w:pPr>
        <w:pStyle w:val="TextBody"/>
        <w:rPr/>
      </w:pPr>
      <w:r>
        <w:rPr>
          <w:i/>
          <w:iCs/>
        </w:rPr>
        <w:t>Gradient boosted machines (GBM) was the best performing algorithm at modeling of insufficiency of diffusion capacity for carbon monoxide (DLCO &lt; 80% of reference) and diffusion capacity for carbon monoxide expressed as percentage of the reference value (DLCO, Figure 2).</w:t>
      </w:r>
      <w:r>
        <w:rPr/>
        <w:t xml:space="preserve"> </w:t>
      </w:r>
      <w:r>
        <w:rPr>
          <w:i/>
          <w:iCs/>
        </w:rPr>
        <w:t xml:space="preserve">Over-fitting behavior of the GBM models was investigated by examination of learning curves, i.e. curves of model performance metrics (A, DLCO &lt; 80%: accuracy and Cohen’s </w:t>
      </w:r>
      <w:r>
        <w:rPr/>
      </w:r>
      <m:oMath xmlns:m="http://schemas.openxmlformats.org/officeDocument/2006/math">
        <m:r>
          <w:rPr>
            <w:rFonts w:ascii="Cambria Math" w:hAnsi="Cambria Math"/>
          </w:rPr>
          <m:t xml:space="preserve">κ</m:t>
        </m:r>
      </m:oMath>
      <w:r>
        <w:rPr>
          <w:i/>
          <w:iCs/>
        </w:rPr>
        <w:t xml:space="preserve">, B, DLCO: mean absolute error [MAE]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for models trained in subsets of observations with increasing sizes.</w:t>
      </w:r>
      <w:r>
        <w:rPr/>
        <w:t xml:space="preserve"> </w:t>
      </w:r>
      <w:r>
        <w:rPr>
          <w:i/>
          <w:iCs/>
        </w:rPr>
        <w:t>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pPr>
        <w:pStyle w:val="Normal"/>
        <w:rPr/>
      </w:pPr>
      <w:r>
        <w:rPr/>
      </w:r>
      <w:r>
        <w:br w:type="page"/>
      </w:r>
    </w:p>
    <w:p>
      <w:pPr>
        <w:pStyle w:val="CaptionedFigure"/>
        <w:rPr/>
      </w:pPr>
      <w:r>
        <w:rPr/>
        <w:drawing>
          <wp:inline distT="0" distB="0" distL="114935" distR="114935">
            <wp:extent cx="5943600" cy="6603365"/>
            <wp:effectExtent l="0" t="0" r="0" b="0"/>
            <wp:docPr id="13" name="Image12" descr="Figure 13: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Explanatory variable importance for models of diffusion capacity for carbon monoxide measured by Shapley additive explanations."/>
                    <pic:cNvPicPr>
                      <a:picLocks noChangeAspect="1" noChangeArrowheads="1"/>
                    </pic:cNvPicPr>
                  </pic:nvPicPr>
                  <pic:blipFill>
                    <a:blip r:embed="rId34"/>
                    <a:stretch>
                      <a:fillRect/>
                    </a:stretch>
                  </pic:blipFill>
                  <pic:spPr bwMode="auto">
                    <a:xfrm>
                      <a:off x="0" y="0"/>
                      <a:ext cx="5943600" cy="6603365"/>
                    </a:xfrm>
                    <a:prstGeom prst="rect">
                      <a:avLst/>
                    </a:prstGeom>
                  </pic:spPr>
                </pic:pic>
              </a:graphicData>
            </a:graphic>
          </wp:inline>
        </w:drawing>
      </w:r>
    </w:p>
    <w:p>
      <w:pPr>
        <w:pStyle w:val="ImageCaption"/>
        <w:rPr/>
      </w:pPr>
      <w:r>
        <w:rPr/>
        <w:t>Figure 13: Explanatory variable importance for models of diffusion capacity for carbon monoxide measured by Shapley additive explanations.</w:t>
      </w:r>
    </w:p>
    <w:p>
      <w:pPr>
        <w:pStyle w:val="TextBody"/>
        <w:rPr/>
      </w:pPr>
      <w:r>
        <w:rPr>
          <w:b/>
          <w:bCs/>
        </w:rPr>
        <w:t>Supplementary Figure S13.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7195185"/>
            <wp:effectExtent l="0" t="0" r="0" b="0"/>
            <wp:docPr id="14" name="Image13" descr="Figure 14: Co-linearity of the most influential computed tomography-related variables for prediction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Co-linearity of the most influential computed tomography-related variables for prediction of insufficiency and percentage of reference of diffusion capacity for carbon monoxide."/>
                    <pic:cNvPicPr>
                      <a:picLocks noChangeAspect="1" noChangeArrowheads="1"/>
                    </pic:cNvPicPr>
                  </pic:nvPicPr>
                  <pic:blipFill>
                    <a:blip r:embed="rId35"/>
                    <a:stretch>
                      <a:fillRect/>
                    </a:stretch>
                  </pic:blipFill>
                  <pic:spPr bwMode="auto">
                    <a:xfrm>
                      <a:off x="0" y="0"/>
                      <a:ext cx="5943600" cy="7195185"/>
                    </a:xfrm>
                    <a:prstGeom prst="rect">
                      <a:avLst/>
                    </a:prstGeom>
                  </pic:spPr>
                </pic:pic>
              </a:graphicData>
            </a:graphic>
          </wp:inline>
        </w:drawing>
      </w:r>
    </w:p>
    <w:p>
      <w:pPr>
        <w:pStyle w:val="ImageCaption"/>
        <w:rPr/>
      </w:pPr>
      <w:r>
        <w:rPr/>
        <w:t>Figure 14: Co-linearity of the most influential computed tomography-related variables for prediction of insufficiency and percentage of reference of diffusion capacity for carbon monoxide.</w:t>
      </w:r>
    </w:p>
    <w:p>
      <w:pPr>
        <w:pStyle w:val="TextBody"/>
        <w:rPr/>
      </w:pPr>
      <w:r>
        <w:rPr>
          <w:b/>
          <w:bCs/>
        </w:rPr>
        <w:t>Supplementary Figure S14. Co-linearity of the most influential computed tomography-related variables for prediction of insufficiency and percentage of reference of diffusion capacity for carbon monoxide.</w:t>
      </w:r>
    </w:p>
    <w:p>
      <w:pPr>
        <w:pStyle w:val="TextBody"/>
        <w:rPr/>
      </w:pPr>
      <w:r>
        <w:rPr/>
        <w:t>_The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S13.__</w:t>
      </w:r>
    </w:p>
    <w:p>
      <w:pPr>
        <w:pStyle w:val="TextBody"/>
        <w:rPr/>
      </w:pPr>
      <w:r>
        <w:rPr>
          <w:i/>
          <w:iCs/>
        </w:rPr>
        <w:t xml:space="preserve">(A) Weighted graph of correlations between the most influential explanatory variables. The graph edges are defined by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the edge weights correspond to the </w:t>
      </w:r>
      <w:r>
        <w:rPr/>
      </w:r>
      <m:oMath xmlns:m="http://schemas.openxmlformats.org/officeDocument/2006/math">
        <m:r>
          <w:rPr>
            <w:rFonts w:ascii="Cambria Math" w:hAnsi="Cambria Math"/>
          </w:rPr>
          <m:t xml:space="preserve">τ</m:t>
        </m:r>
      </m:oMath>
      <w:r>
        <w:rPr>
          <w:i/>
          <w:iCs/>
        </w:rPr>
        <w:t xml:space="preserve"> values. Isolated vertices, i.e. explanatory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 </w:t>
      </w:r>
      <w:r>
        <w:rPr/>
      </w:r>
      <m:oMath xmlns:m="http://schemas.openxmlformats.org/officeDocument/2006/math">
        <m:r>
          <w:rPr>
            <w:rFonts w:ascii="Cambria Math" w:hAnsi="Cambria Math"/>
          </w:rPr>
          <m:t xml:space="preserve">τ</m:t>
        </m:r>
      </m:oMath>
      <w:r>
        <w:rPr>
          <w:i/>
          <w:iCs/>
        </w:rPr>
        <w:t xml:space="preserve"> value.</w:t>
      </w:r>
    </w:p>
    <w:p>
      <w:pPr>
        <w:pStyle w:val="TextBody"/>
        <w:rPr/>
      </w:pPr>
      <w:r>
        <w:rPr>
          <w:i/>
          <w:iCs/>
        </w:rPr>
        <w:t xml:space="preserve">(B) Correlations between computed tomography (CT) readouts of lung damage, the human-determined CT severity score and software-determined lung opacity and high opacity, were assessed by blocked bootstrap Kendall’s correlation test. Ranks of the CT readouts are presented in scatter plots. Each point represents a single observation, blue straight lines are visualizations of linear trends. Correlation coefficients </w:t>
      </w:r>
      <w:r>
        <w:rPr/>
      </w:r>
      <m:oMath xmlns:m="http://schemas.openxmlformats.org/officeDocument/2006/math">
        <m:r>
          <w:rPr>
            <w:rFonts w:ascii="Cambria Math" w:hAnsi="Cambria Math"/>
          </w:rPr>
          <m:t xml:space="preserve">τ</m:t>
        </m:r>
      </m:oMath>
      <w:r>
        <w:rPr>
          <w:i/>
          <w:iCs/>
        </w:rPr>
        <w:t xml:space="preserve"> with bootstrap confidence intervals, p values, and numbers of observations are displayed in the plot captions.</w:t>
      </w:r>
    </w:p>
    <w:p>
      <w:pPr>
        <w:pStyle w:val="TextBody"/>
        <w:rPr/>
      </w:pPr>
      <w:r>
        <w:rPr>
          <w:i/>
          <w:iCs/>
        </w:rPr>
        <w:t>(C)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Normal"/>
        <w:rPr/>
      </w:pPr>
      <w:r>
        <w:rPr/>
      </w:r>
      <w:bookmarkStart w:id="15" w:name="supplementary-figures"/>
      <w:bookmarkStart w:id="16" w:name="supplementary-figures"/>
      <w:bookmarkEnd w:id="16"/>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36">
        <w:r>
          <w:rPr>
            <w:rStyle w:val="InternetLink"/>
          </w:rPr>
          <w:t>10.1183/13993003.03481-2020</w:t>
        </w:r>
      </w:hyperlink>
      <w:bookmarkStart w:id="17" w:name="ref-Sonnweber2020"/>
      <w:bookmarkEnd w:id="17"/>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37">
        <w:r>
          <w:rPr>
            <w:rStyle w:val="InternetLink"/>
          </w:rPr>
          <w:t>10.7554/ELIFE.72500</w:t>
        </w:r>
      </w:hyperlink>
      <w:bookmarkStart w:id="18" w:name="ref-Sonnweber2022"/>
      <w:bookmarkEnd w:id="18"/>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38">
        <w:r>
          <w:rPr>
            <w:rStyle w:val="InternetLink"/>
          </w:rPr>
          <w:t>10.1148/radiol.211670</w:t>
        </w:r>
      </w:hyperlink>
      <w:bookmarkStart w:id="19" w:name="ref-Luger2022"/>
      <w:bookmarkEnd w:id="19"/>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39">
        <w:r>
          <w:rPr>
            <w:rStyle w:val="InternetLink"/>
          </w:rPr>
          <w:t>10.1183/23120541.00317-2022</w:t>
        </w:r>
      </w:hyperlink>
      <w:bookmarkStart w:id="20" w:name="ref-Sahanic2023"/>
      <w:bookmarkEnd w:id="20"/>
    </w:p>
    <w:p>
      <w:pPr>
        <w:pStyle w:val="Bibliography"/>
        <w:rPr/>
      </w:pPr>
      <w:r>
        <w:rPr/>
        <w:t xml:space="preserve">5. </w:t>
        <w:tab/>
        <w:t xml:space="preserve">Hansell DM, Bankier AA, MacMahon H, McLoud TC, Müller NL, Remy J. Fleischner Society: Glossary of terms for thoracic imaging. (2008) 246:697–722. doi: </w:t>
      </w:r>
      <w:hyperlink r:id="rId40">
        <w:r>
          <w:rPr>
            <w:rStyle w:val="InternetLink"/>
          </w:rPr>
          <w:t>10.1148/radiol.2462070712</w:t>
        </w:r>
      </w:hyperlink>
      <w:bookmarkStart w:id="21" w:name="ref-Hansell2008"/>
      <w:bookmarkEnd w:id="21"/>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41">
        <w:r>
          <w:rPr>
            <w:rStyle w:val="InternetLink"/>
          </w:rPr>
          <w:t>https://ggplot2.tidyverse.org</w:t>
        </w:r>
      </w:hyperlink>
      <w:bookmarkStart w:id="22" w:name="ref-Wickham2016"/>
      <w:bookmarkEnd w:id="22"/>
    </w:p>
    <w:p>
      <w:pPr>
        <w:pStyle w:val="Bibliography"/>
        <w:rPr/>
      </w:pPr>
      <w:r>
        <w:rPr/>
        <w:t xml:space="preserve">7. </w:t>
        <w:tab/>
        <w:t xml:space="preserve">Henry L, Wickham Hadley. rlang: Functions for Base Types and Core R and ’Tidyverse’ Features. (2022) </w:t>
      </w:r>
      <w:hyperlink r:id="rId42">
        <w:r>
          <w:rPr>
            <w:rStyle w:val="InternetLink"/>
          </w:rPr>
          <w:t>https://cran.r-project.org/web/packages/rlang/index.html</w:t>
        </w:r>
      </w:hyperlink>
      <w:bookmarkStart w:id="23" w:name="ref-Henry2022"/>
      <w:bookmarkEnd w:id="23"/>
    </w:p>
    <w:p>
      <w:pPr>
        <w:pStyle w:val="Bibliography"/>
        <w:rPr/>
      </w:pPr>
      <w:r>
        <w:rPr/>
        <w:t xml:space="preserve">8. </w:t>
        <w:tab/>
        <w:t xml:space="preserve">Gagolewski M, Tartanus B. Package ’stringi’. (2021) </w:t>
      </w:r>
      <w:hyperlink r:id="rId43">
        <w:r>
          <w:rPr>
            <w:rStyle w:val="InternetLink"/>
          </w:rPr>
          <w:t>https://cran.r-project.org/web/packages/stringi/index.html http://cran.ism.ac.jp/web/packages/stringi/stringi.pdf</w:t>
        </w:r>
      </w:hyperlink>
      <w:bookmarkStart w:id="24" w:name="ref-Gagolewski2021"/>
      <w:bookmarkEnd w:id="24"/>
    </w:p>
    <w:p>
      <w:pPr>
        <w:pStyle w:val="Bibliography"/>
        <w:rPr/>
      </w:pPr>
      <w:r>
        <w:rPr/>
        <w:t xml:space="preserve">9. </w:t>
        <w:tab/>
        <w:t xml:space="preserve">Vaughan D, Dancho M, RStudio. furrr: Apply Mapping Functions in Parallel using Futures. (2022) </w:t>
      </w:r>
      <w:hyperlink r:id="rId44">
        <w:r>
          <w:rPr>
            <w:rStyle w:val="InternetLink"/>
          </w:rPr>
          <w:t>https://cran.r-project.org/package=furrr</w:t>
        </w:r>
      </w:hyperlink>
      <w:bookmarkStart w:id="25" w:name="ref-Vaughan2022"/>
      <w:bookmarkEnd w:id="25"/>
    </w:p>
    <w:p>
      <w:pPr>
        <w:pStyle w:val="Bibliography"/>
        <w:rPr/>
      </w:pPr>
      <w:r>
        <w:rPr/>
        <w:t xml:space="preserve">10. </w:t>
        <w:tab/>
        <w:t xml:space="preserve">Folashade D, Microsoft Corporation, Weston S, Tenenbaum D. doParallel: Foreach Parallel Adaptor for the ’parallel’ Package. (2022) </w:t>
      </w:r>
      <w:hyperlink r:id="rId45">
        <w:r>
          <w:rPr>
            <w:rStyle w:val="InternetLink"/>
          </w:rPr>
          <w:t>https://cran.r-project.org/web/packages/doParallel/index.html</w:t>
        </w:r>
      </w:hyperlink>
      <w:bookmarkStart w:id="26" w:name="ref-Folashade2022"/>
      <w:bookmarkEnd w:id="26"/>
    </w:p>
    <w:p>
      <w:pPr>
        <w:pStyle w:val="Bibliography"/>
        <w:rPr/>
      </w:pPr>
      <w:r>
        <w:rPr/>
        <w:t xml:space="preserve">11. </w:t>
        <w:tab/>
        <w:t xml:space="preserve">Kassambara A. rstatix: Pipe-Friendly Framework for Basic Statistical Tests. (2021) </w:t>
      </w:r>
      <w:hyperlink r:id="rId46">
        <w:r>
          <w:rPr>
            <w:rStyle w:val="InternetLink"/>
          </w:rPr>
          <w:t>https://cran.r-project.org/package=rstatix</w:t>
        </w:r>
      </w:hyperlink>
      <w:bookmarkStart w:id="27" w:name="ref-Kassambara2021"/>
      <w:bookmarkEnd w:id="27"/>
    </w:p>
    <w:p>
      <w:pPr>
        <w:pStyle w:val="Bibliography"/>
        <w:rPr/>
      </w:pPr>
      <w:r>
        <w:rPr/>
        <w:t xml:space="preserve">12. </w:t>
        <w:tab/>
        <w:t xml:space="preserve">Mangiafico S. rcompanion: Functions to Support Extension Education Program Evaluation. (2022) </w:t>
      </w:r>
      <w:hyperlink r:id="rId47">
        <w:r>
          <w:rPr>
            <w:rStyle w:val="InternetLink"/>
          </w:rPr>
          <w:t>https://cran.r-project.org/package=rcompanion</w:t>
        </w:r>
      </w:hyperlink>
      <w:bookmarkStart w:id="28" w:name="ref-Mangiafico2022"/>
      <w:bookmarkEnd w:id="28"/>
    </w:p>
    <w:p>
      <w:pPr>
        <w:pStyle w:val="Bibliography"/>
        <w:rPr/>
      </w:pPr>
      <w:r>
        <w:rPr/>
        <w:t xml:space="preserve">13. </w:t>
        <w:tab/>
        <w:t xml:space="preserve">Ripley B. MASS: Support Functions and Datasets for Venables and Ripley’s MASS. (2022) </w:t>
      </w:r>
      <w:hyperlink r:id="rId48">
        <w:r>
          <w:rPr>
            <w:rStyle w:val="InternetLink"/>
          </w:rPr>
          <w:t>https://cran.r-project.org/package=MASS</w:t>
        </w:r>
      </w:hyperlink>
      <w:bookmarkStart w:id="29" w:name="ref-Ripley2022"/>
      <w:bookmarkEnd w:id="29"/>
    </w:p>
    <w:p>
      <w:pPr>
        <w:pStyle w:val="Bibliography"/>
        <w:rPr/>
      </w:pPr>
      <w:r>
        <w:rPr/>
        <w:t xml:space="preserve">14. </w:t>
        <w:tab/>
        <w:t xml:space="preserve">Kuhn M. Building predictive models in R using the caret package. </w:t>
      </w:r>
      <w:r>
        <w:rPr>
          <w:i/>
          <w:iCs/>
        </w:rPr>
        <w:t>Journal of Statistical Software</w:t>
      </w:r>
      <w:r>
        <w:rPr/>
        <w:t xml:space="preserve"> (2008) 28:1–26. doi: </w:t>
      </w:r>
      <w:hyperlink r:id="rId49">
        <w:r>
          <w:rPr>
            <w:rStyle w:val="InternetLink"/>
          </w:rPr>
          <w:t>10.18637/jss.v028.i05</w:t>
        </w:r>
      </w:hyperlink>
      <w:bookmarkStart w:id="30" w:name="ref-Kuhn2008"/>
      <w:bookmarkEnd w:id="30"/>
    </w:p>
    <w:p>
      <w:pPr>
        <w:pStyle w:val="Bibliography"/>
        <w:rPr/>
      </w:pPr>
      <w:r>
        <w:rPr/>
        <w:t xml:space="preserve">15.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50">
        <w:r>
          <w:rPr>
            <w:rStyle w:val="InternetLink"/>
          </w:rPr>
          <w:t>10.18637/jss.v061.i08</w:t>
        </w:r>
      </w:hyperlink>
      <w:bookmarkStart w:id="31" w:name="ref-Lopez-Raton2014"/>
      <w:bookmarkEnd w:id="31"/>
    </w:p>
    <w:p>
      <w:pPr>
        <w:pStyle w:val="Bibliography"/>
        <w:rPr/>
      </w:pPr>
      <w:r>
        <w:rPr/>
        <w:t xml:space="preserve">16. </w:t>
        <w:tab/>
        <w:t xml:space="preserve">Wright MN, Ziegler A. ranger: A Fast Implementation of Random Forests for High Dimensional Data in C++ and R. </w:t>
      </w:r>
      <w:r>
        <w:rPr>
          <w:i/>
          <w:iCs/>
        </w:rPr>
        <w:t>Journal of Statistical Software</w:t>
      </w:r>
      <w:r>
        <w:rPr/>
        <w:t xml:space="preserve"> (2017) 77:1–17. doi: </w:t>
      </w:r>
      <w:hyperlink r:id="rId51">
        <w:r>
          <w:rPr>
            <w:rStyle w:val="InternetLink"/>
          </w:rPr>
          <w:t>10.18637/JSS.V077.I01</w:t>
        </w:r>
      </w:hyperlink>
      <w:bookmarkStart w:id="32" w:name="ref-Wright2017"/>
      <w:bookmarkEnd w:id="32"/>
    </w:p>
    <w:p>
      <w:pPr>
        <w:pStyle w:val="Bibliography"/>
        <w:rPr/>
      </w:pPr>
      <w:r>
        <w:rPr/>
        <w:t xml:space="preserve">17. </w:t>
        <w:tab/>
        <w:t xml:space="preserve">Breiman L. Random forests. </w:t>
      </w:r>
      <w:r>
        <w:rPr>
          <w:i/>
          <w:iCs/>
        </w:rPr>
        <w:t>Machine Learning</w:t>
      </w:r>
      <w:r>
        <w:rPr/>
        <w:t xml:space="preserve"> (2001) 45:5–32. doi: </w:t>
      </w:r>
      <w:hyperlink r:id="rId52">
        <w:r>
          <w:rPr>
            <w:rStyle w:val="InternetLink"/>
          </w:rPr>
          <w:t>10.1023/A:1010933404324</w:t>
        </w:r>
      </w:hyperlink>
      <w:bookmarkStart w:id="33" w:name="ref-Breiman2001"/>
      <w:bookmarkEnd w:id="33"/>
    </w:p>
    <w:p>
      <w:pPr>
        <w:pStyle w:val="Bibliography"/>
        <w:rPr/>
      </w:pPr>
      <w:r>
        <w:rPr/>
        <w:t xml:space="preserve">18. </w:t>
        <w:tab/>
        <w:t xml:space="preserve">Ripley BD. </w:t>
      </w:r>
      <w:r>
        <w:rPr>
          <w:i/>
          <w:iCs/>
        </w:rPr>
        <w:t>Pattern recognition and neural networks</w:t>
      </w:r>
      <w:r>
        <w:rPr/>
        <w:t xml:space="preserve">. Cambridge University Press (2014). doi: </w:t>
      </w:r>
      <w:hyperlink r:id="rId53">
        <w:r>
          <w:rPr>
            <w:rStyle w:val="InternetLink"/>
          </w:rPr>
          <w:t>10.1017/CBO9780511812651</w:t>
        </w:r>
      </w:hyperlink>
      <w:bookmarkStart w:id="34" w:name="ref-Ripley2014"/>
      <w:bookmarkEnd w:id="34"/>
    </w:p>
    <w:p>
      <w:pPr>
        <w:pStyle w:val="Bibliography"/>
        <w:rPr/>
      </w:pPr>
      <w:r>
        <w:rPr/>
        <w:t xml:space="preserve">19. </w:t>
        <w:tab/>
        <w:t>Weston J, Watkins C. Multi-Class Support Vector Machines. (1998)</w:t>
      </w:r>
      <w:bookmarkStart w:id="35" w:name="ref-Weston1998"/>
      <w:bookmarkEnd w:id="35"/>
    </w:p>
    <w:p>
      <w:pPr>
        <w:pStyle w:val="Bibliography"/>
        <w:rPr/>
      </w:pPr>
      <w:r>
        <w:rPr/>
        <w:t xml:space="preserve">20. </w:t>
        <w:tab/>
        <w:t xml:space="preserve">Karatzoglou A, Hornik K, Smola A, Zeileis A. kernlab - An S4 Package for Kernel Methods in R. </w:t>
      </w:r>
      <w:r>
        <w:rPr>
          <w:i/>
          <w:iCs/>
        </w:rPr>
        <w:t>Journal of Statistical Software</w:t>
      </w:r>
      <w:r>
        <w:rPr/>
        <w:t xml:space="preserve"> (2004) 11:1–20. doi: </w:t>
      </w:r>
      <w:hyperlink r:id="rId54">
        <w:r>
          <w:rPr>
            <w:rStyle w:val="InternetLink"/>
          </w:rPr>
          <w:t>10.18637/JSS.V011.I09</w:t>
        </w:r>
      </w:hyperlink>
      <w:bookmarkStart w:id="36" w:name="ref-Karatzoglou2004"/>
      <w:bookmarkEnd w:id="36"/>
    </w:p>
    <w:p>
      <w:pPr>
        <w:pStyle w:val="Bibliography"/>
        <w:rPr/>
      </w:pPr>
      <w:r>
        <w:rPr/>
        <w:t xml:space="preserve">21. </w:t>
        <w:tab/>
        <w:t xml:space="preserve">Greenwell B, Boehmke B, Cunningham J, Developers G. gbm: Generalized Boosted Regression Models. (2022) </w:t>
      </w:r>
      <w:hyperlink r:id="rId55">
        <w:r>
          <w:rPr>
            <w:rStyle w:val="InternetLink"/>
          </w:rPr>
          <w:t>https://cran.r-project.org/package=gbm</w:t>
        </w:r>
      </w:hyperlink>
      <w:bookmarkStart w:id="37" w:name="ref-Greenwell2022"/>
      <w:bookmarkEnd w:id="37"/>
    </w:p>
    <w:p>
      <w:pPr>
        <w:pStyle w:val="Bibliography"/>
        <w:rPr/>
      </w:pPr>
      <w:r>
        <w:rPr/>
        <w:t xml:space="preserve">22. </w:t>
        <w:tab/>
        <w:t xml:space="preserve">Friedman JH. Stochastic gradient boosting. </w:t>
      </w:r>
      <w:r>
        <w:rPr>
          <w:i/>
          <w:iCs/>
        </w:rPr>
        <w:t>Computational Statistics &amp; Data Analysis</w:t>
      </w:r>
      <w:r>
        <w:rPr/>
        <w:t xml:space="preserve"> (2002) 38:367–378. doi: </w:t>
      </w:r>
      <w:hyperlink r:id="rId56">
        <w:r>
          <w:rPr>
            <w:rStyle w:val="InternetLink"/>
          </w:rPr>
          <w:t>10.1016/S0167-9473(01)00065-2</w:t>
        </w:r>
      </w:hyperlink>
      <w:bookmarkStart w:id="38" w:name="ref-Friedman2002"/>
      <w:bookmarkEnd w:id="38"/>
    </w:p>
    <w:p>
      <w:pPr>
        <w:pStyle w:val="Bibliography"/>
        <w:rPr/>
      </w:pPr>
      <w:r>
        <w:rPr/>
        <w:t xml:space="preserve">23. </w:t>
        <w:tab/>
        <w:t xml:space="preserve">Friedman JH. Greedy function approximation: A gradient boosting machine. </w:t>
      </w:r>
      <w:r>
        <w:rPr>
          <w:i/>
          <w:iCs/>
        </w:rPr>
        <w:t>https://doiorg/101214/aos/1013203451</w:t>
      </w:r>
      <w:r>
        <w:rPr/>
        <w:t xml:space="preserve"> (2001) 29:1189–1232. doi: </w:t>
      </w:r>
      <w:hyperlink r:id="rId57">
        <w:r>
          <w:rPr>
            <w:rStyle w:val="InternetLink"/>
          </w:rPr>
          <w:t>10.1214/AOS/1013203451</w:t>
        </w:r>
      </w:hyperlink>
      <w:bookmarkStart w:id="39" w:name="ref-Friedman2001"/>
      <w:bookmarkEnd w:id="39"/>
    </w:p>
    <w:p>
      <w:pPr>
        <w:pStyle w:val="Bibliography"/>
        <w:rPr/>
      </w:pPr>
      <w:r>
        <w:rPr/>
        <w:t xml:space="preserve">24. </w:t>
        <w:tab/>
        <w:t xml:space="preserve">Covert I, Lee SI. Improving KernelSHAP: Practical Shapley Value Estimation via Linear Regression. </w:t>
      </w:r>
      <w:r>
        <w:rPr>
          <w:i/>
          <w:iCs/>
        </w:rPr>
        <w:t>Proceedings of Machine Learning Research</w:t>
      </w:r>
      <w:r>
        <w:rPr/>
        <w:t xml:space="preserve"> (2020) 130:3457–3465. </w:t>
      </w:r>
      <w:hyperlink r:id="rId58">
        <w:r>
          <w:rPr>
            <w:rStyle w:val="InternetLink"/>
          </w:rPr>
          <w:t>https://arxiv.org/abs/2012.01536v3</w:t>
        </w:r>
      </w:hyperlink>
      <w:bookmarkStart w:id="40" w:name="ref-Covert2020"/>
      <w:bookmarkEnd w:id="40"/>
    </w:p>
    <w:p>
      <w:pPr>
        <w:pStyle w:val="Bibliography"/>
        <w:rPr/>
      </w:pPr>
      <w:r>
        <w:rPr/>
        <w:t xml:space="preserve">25. </w:t>
        <w:tab/>
        <w:t xml:space="preserve">Lundberg SM, Lee SI. A Unified Approach to Interpreting Model Predictions. </w:t>
      </w:r>
      <w:r>
        <w:rPr>
          <w:i/>
          <w:iCs/>
        </w:rPr>
        <w:t>Advances in Neural Information Processing Systems</w:t>
      </w:r>
      <w:r>
        <w:rPr/>
        <w:t xml:space="preserve"> (2017) 2017-Decem:4766–4775. </w:t>
      </w:r>
      <w:hyperlink r:id="rId59">
        <w:r>
          <w:rPr>
            <w:rStyle w:val="InternetLink"/>
          </w:rPr>
          <w:t>https://arxiv.org/abs/1705.07874v2</w:t>
        </w:r>
      </w:hyperlink>
      <w:bookmarkStart w:id="41" w:name="ref-Lundberg2017"/>
      <w:bookmarkEnd w:id="41"/>
    </w:p>
    <w:p>
      <w:pPr>
        <w:pStyle w:val="Bibliography"/>
        <w:rPr/>
      </w:pPr>
      <w:r>
        <w:rPr/>
        <w:t xml:space="preserve">26. </w:t>
        <w:tab/>
        <w:t xml:space="preserve">Mayer M, Stando A. shapviz: SHAP Visualizations. (2023) </w:t>
      </w:r>
      <w:hyperlink r:id="rId60">
        <w:r>
          <w:rPr>
            <w:rStyle w:val="InternetLink"/>
          </w:rPr>
          <w:t>https://cran.r-project.org/web/packages/shapviz/index.html</w:t>
        </w:r>
      </w:hyperlink>
      <w:bookmarkStart w:id="42" w:name="ref-Mayer2023"/>
      <w:bookmarkEnd w:id="42"/>
    </w:p>
    <w:p>
      <w:pPr>
        <w:pStyle w:val="Bibliography"/>
        <w:rPr/>
      </w:pPr>
      <w:r>
        <w:rPr/>
        <w:t xml:space="preserve">27. </w:t>
        <w:tab/>
        <w:t xml:space="preserve">Yan L. ggvenn: Draw Venn Diagram by ’ggplot2’. (2021) </w:t>
      </w:r>
      <w:hyperlink r:id="rId61">
        <w:r>
          <w:rPr>
            <w:rStyle w:val="InternetLink"/>
          </w:rPr>
          <w:t>https://cran.r-project.org/package=ggvenn</w:t>
        </w:r>
      </w:hyperlink>
      <w:bookmarkStart w:id="43" w:name="ref-Yan2021"/>
      <w:bookmarkEnd w:id="43"/>
    </w:p>
    <w:p>
      <w:pPr>
        <w:pStyle w:val="Bibliography"/>
        <w:rPr/>
      </w:pPr>
      <w:r>
        <w:rPr/>
        <w:t xml:space="preserve">28. </w:t>
        <w:tab/>
        <w:t xml:space="preserve">Sachs MC. Plotroc: A tool for plotting ROC curves. </w:t>
      </w:r>
      <w:r>
        <w:rPr>
          <w:i/>
          <w:iCs/>
        </w:rPr>
        <w:t>Journal of Statistical Software</w:t>
      </w:r>
      <w:r>
        <w:rPr/>
        <w:t xml:space="preserve"> (2017) 79:1–19. doi: </w:t>
      </w:r>
      <w:hyperlink r:id="rId62">
        <w:r>
          <w:rPr>
            <w:rStyle w:val="InternetLink"/>
          </w:rPr>
          <w:t>10.18637/jss.v079.c02</w:t>
        </w:r>
      </w:hyperlink>
      <w:bookmarkStart w:id="44" w:name="ref-Sachs2017"/>
      <w:bookmarkEnd w:id="44"/>
    </w:p>
    <w:p>
      <w:pPr>
        <w:pStyle w:val="Bibliography"/>
        <w:rPr/>
      </w:pPr>
      <w:r>
        <w:rPr/>
        <w:t xml:space="preserve">29. </w:t>
        <w:tab/>
        <w:t xml:space="preserve">Mayer M, Watson D, Biecek P. kernelshap: Kernel SHAP. (2023) </w:t>
      </w:r>
      <w:hyperlink r:id="rId63">
        <w:r>
          <w:rPr>
            <w:rStyle w:val="InternetLink"/>
          </w:rPr>
          <w:t>https://cran.r-project.org/web/packages/kernelshap/index.html</w:t>
        </w:r>
      </w:hyperlink>
      <w:bookmarkStart w:id="45" w:name="ref-Mayer2023a"/>
      <w:bookmarkEnd w:id="45"/>
    </w:p>
    <w:p>
      <w:pPr>
        <w:pStyle w:val="Bibliography"/>
        <w:rPr/>
      </w:pPr>
      <w:r>
        <w:rPr/>
        <w:t xml:space="preserve">30. </w:t>
        <w:tab/>
        <w:t xml:space="preserve">Gohel D. flextable: Functions for Tabular Reporting. (2022) </w:t>
      </w:r>
      <w:hyperlink r:id="rId64">
        <w:r>
          <w:rPr>
            <w:rStyle w:val="InternetLink"/>
          </w:rPr>
          <w:t>https://cran.r-project.org/web/packages/flextable/index.html</w:t>
        </w:r>
      </w:hyperlink>
      <w:bookmarkStart w:id="46" w:name="ref-Gohel2022"/>
      <w:bookmarkEnd w:id="46"/>
    </w:p>
    <w:p>
      <w:pPr>
        <w:pStyle w:val="Bibliography"/>
        <w:rPr/>
      </w:pPr>
      <w:r>
        <w:rPr/>
        <w:t xml:space="preserve">31. </w:t>
        <w:tab/>
        <w:t xml:space="preserve">Wilke CO. </w:t>
      </w:r>
      <w:r>
        <w:rPr>
          <w:i/>
          <w:iCs/>
        </w:rPr>
        <w:t>Fundamentals of Data Visualization: A Primer on Making Informative and Compelling Figures</w:t>
      </w:r>
      <w:r>
        <w:rPr/>
        <w:t>. 1st ed. Sebastopol: O’Reilly Media (2019).</w:t>
      </w:r>
      <w:bookmarkStart w:id="47" w:name="ref-Wilke2019"/>
      <w:bookmarkEnd w:id="47"/>
    </w:p>
    <w:p>
      <w:pPr>
        <w:pStyle w:val="Bibliography"/>
        <w:rPr/>
      </w:pPr>
      <w:r>
        <w:rPr/>
        <w:t xml:space="preserve">32. </w:t>
        <w:tab/>
        <w:t xml:space="preserve">Allaire J, Xie Y, McPherson J, Luraschi J, Ushey K, Atkins A, Wickham H, Cheng J. rmarkdown: Dynamic Documents for R. (2022) </w:t>
      </w:r>
      <w:hyperlink r:id="rId65">
        <w:r>
          <w:rPr>
            <w:rStyle w:val="InternetLink"/>
          </w:rPr>
          <w:t>https://cran.r-project.org/web/packages/rmarkdown/index.html</w:t>
        </w:r>
      </w:hyperlink>
      <w:bookmarkStart w:id="48" w:name="ref-Allaire2022"/>
      <w:bookmarkEnd w:id="48"/>
    </w:p>
    <w:p>
      <w:pPr>
        <w:pStyle w:val="Bibliography"/>
        <w:rPr/>
      </w:pPr>
      <w:r>
        <w:rPr/>
        <w:t xml:space="preserve">33. </w:t>
        <w:tab/>
        <w:t xml:space="preserve">Xie Y. </w:t>
      </w:r>
      <w:r>
        <w:rPr>
          <w:i/>
          <w:iCs/>
        </w:rPr>
        <w:t>Bookdown: Authoring books and technical documents with R Markdown</w:t>
      </w:r>
      <w:r>
        <w:rPr/>
        <w:t xml:space="preserve">. (2016). doi: </w:t>
      </w:r>
      <w:hyperlink r:id="rId66">
        <w:r>
          <w:rPr>
            <w:rStyle w:val="InternetLink"/>
          </w:rPr>
          <w:t>10.1201/9781315204963</w:t>
        </w:r>
      </w:hyperlink>
      <w:bookmarkStart w:id="49" w:name="ref-Xie2016"/>
      <w:bookmarkEnd w:id="49"/>
    </w:p>
    <w:p>
      <w:pPr>
        <w:pStyle w:val="Bibliography"/>
        <w:rPr/>
      </w:pPr>
      <w:r>
        <w:rPr/>
        <w:t xml:space="preserve">34.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67">
        <w:r>
          <w:rPr>
            <w:rStyle w:val="InternetLink"/>
          </w:rPr>
          <w:t>10.1111/j.2517-6161.1995.tb02031.x</w:t>
        </w:r>
      </w:hyperlink>
      <w:bookmarkStart w:id="50" w:name="ref-Benjamini1995"/>
      <w:bookmarkEnd w:id="50"/>
    </w:p>
    <w:p>
      <w:pPr>
        <w:pStyle w:val="Bibliography"/>
        <w:rPr/>
      </w:pPr>
      <w:r>
        <w:rPr/>
        <w:t xml:space="preserve">35. </w:t>
        <w:tab/>
        <w:t xml:space="preserve">McHugh ML. Interrater reliability: the kappa statistic. </w:t>
      </w:r>
      <w:r>
        <w:rPr>
          <w:i/>
          <w:iCs/>
        </w:rPr>
        <w:t>Biochemia Medica</w:t>
      </w:r>
      <w:r>
        <w:rPr/>
        <w:t xml:space="preserve"> (2012) 22:276. doi: </w:t>
      </w:r>
      <w:hyperlink r:id="rId68">
        <w:r>
          <w:rPr>
            <w:rStyle w:val="InternetLink"/>
          </w:rPr>
          <w:t>10.11613/bm.2012.031</w:t>
        </w:r>
      </w:hyperlink>
      <w:bookmarkStart w:id="51" w:name="ref-McHugh2012"/>
      <w:bookmarkEnd w:id="51"/>
    </w:p>
    <w:p>
      <w:pPr>
        <w:pStyle w:val="Bibliography"/>
        <w:rPr/>
      </w:pPr>
      <w:r>
        <w:rPr/>
        <w:t xml:space="preserve">36. </w:t>
        <w:tab/>
        <w:t xml:space="preserve">Cohen J. Statistical Power Analysis for the Behavioral Sciences. </w:t>
      </w:r>
      <w:r>
        <w:rPr>
          <w:i/>
          <w:iCs/>
        </w:rPr>
        <w:t>Statistical Power Analysis for the Behavioral Sciences</w:t>
      </w:r>
      <w:r>
        <w:rPr/>
        <w:t xml:space="preserve"> (2013) doi: </w:t>
      </w:r>
      <w:hyperlink r:id="rId69">
        <w:r>
          <w:rPr>
            <w:rStyle w:val="InternetLink"/>
          </w:rPr>
          <w:t>10.4324/9780203771587</w:t>
        </w:r>
      </w:hyperlink>
      <w:bookmarkStart w:id="52" w:name="ref-Cohen2013"/>
      <w:bookmarkEnd w:id="52"/>
    </w:p>
    <w:p>
      <w:pPr>
        <w:pStyle w:val="Bibliography"/>
        <w:rPr/>
      </w:pPr>
      <w:r>
        <w:rPr/>
        <w:t xml:space="preserve">37. </w:t>
        <w:tab/>
        <w:t xml:space="preserve">Cohen J. A Coefficient of Agreement for Nominal Scales. </w:t>
      </w:r>
      <w:r>
        <w:rPr>
          <w:i/>
          <w:iCs/>
        </w:rPr>
        <w:t>Educational and Psychological Measurement</w:t>
      </w:r>
      <w:r>
        <w:rPr/>
        <w:t xml:space="preserve"> (1960) 20:37–46. doi: </w:t>
      </w:r>
      <w:hyperlink r:id="rId70">
        <w:r>
          <w:rPr>
            <w:rStyle w:val="InternetLink"/>
          </w:rPr>
          <w:t>10.1177/001316446002000104</w:t>
        </w:r>
      </w:hyperlink>
      <w:bookmarkStart w:id="53" w:name="ref-Cohen1960"/>
      <w:bookmarkEnd w:id="53"/>
    </w:p>
    <w:p>
      <w:pPr>
        <w:pStyle w:val="Bibliography"/>
        <w:rPr/>
      </w:pPr>
      <w:r>
        <w:rPr/>
        <w:t xml:space="preserve">38. </w:t>
        <w:tab/>
        <w:t xml:space="preserve">Brier GW. VERIFICATION OF FORECASTS EXPRESSED IN TERMS OF PROBABILITY. </w:t>
      </w:r>
      <w:r>
        <w:rPr>
          <w:i/>
          <w:iCs/>
        </w:rPr>
        <w:t>Monthly Weather Review</w:t>
      </w:r>
      <w:r>
        <w:rPr/>
        <w:t xml:space="preserve"> (1950) 78:1–3. doi: </w:t>
      </w:r>
      <w:hyperlink r:id="rId71">
        <w:r>
          <w:rPr>
            <w:rStyle w:val="InternetLink"/>
          </w:rPr>
          <w:t>10.1175/1520-0493(1950)078&lt;0001:vofeit&gt;2.0.co;2</w:t>
        </w:r>
      </w:hyperlink>
      <w:bookmarkStart w:id="54" w:name="ref-Brier1950"/>
      <w:bookmarkEnd w:id="54"/>
    </w:p>
    <w:p>
      <w:pPr>
        <w:pStyle w:val="Bibliography"/>
        <w:spacing w:before="0" w:after="200"/>
        <w:rPr/>
      </w:pPr>
      <w:r>
        <w:rPr/>
        <w:t xml:space="preserve">39. </w:t>
        <w:tab/>
        <w:t xml:space="preserve">Goldstein-Greenwood J. A Brief on Brier Scores | UVA Library. (2021) </w:t>
      </w:r>
      <w:hyperlink r:id="rId72">
        <w:r>
          <w:rPr>
            <w:rStyle w:val="InternetLink"/>
          </w:rPr>
          <w:t>https://library.virginia.edu/data/articles/a-brief-on-brier-scores</w:t>
        </w:r>
      </w:hyperlink>
      <w:r>
        <w:rPr/>
        <w:t xml:space="preserve"> [Accessed September 5, 2023]</w:t>
      </w:r>
    </w:p>
    <w:sectPr>
      <w:footerReference w:type="default" r:id="rId73"/>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14</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bootStat" TargetMode="External"/><Relationship Id="rId8" Type="http://schemas.openxmlformats.org/officeDocument/2006/relationships/hyperlink" Target="https://github.com/PiotrTymoszuk/caretExtra"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clustTools" TargetMode="External"/><Relationship Id="rId12" Type="http://schemas.openxmlformats.org/officeDocument/2006/relationships/hyperlink" Target="https://github.com/PiotrTymoszuk/caretExtra" TargetMode="External"/><Relationship Id="rId13" Type="http://schemas.openxmlformats.org/officeDocument/2006/relationships/hyperlink" Target="https://github.com/PiotrTymoszuk/figur"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caretExtr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bootStat" TargetMode="External"/><Relationship Id="rId19" Type="http://schemas.openxmlformats.org/officeDocument/2006/relationships/hyperlink" Target="https://github.com/PiotrTymoszuk/bootStat" TargetMode="External"/><Relationship Id="rId20" Type="http://schemas.openxmlformats.org/officeDocument/2006/relationships/hyperlink" Target="https://github.com/PiotrTymoszuk/CovILD_AI" TargetMode="External"/><Relationship Id="rId21" Type="http://schemas.openxmlformats.org/officeDocument/2006/relationships/hyperlink" Target="https://github.com/PiotrTymoszuk/covILD"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hyperlink" Target="https://doi.org/10.1183/13993003.03481-2020" TargetMode="External"/><Relationship Id="rId37" Type="http://schemas.openxmlformats.org/officeDocument/2006/relationships/hyperlink" Target="https://doi.org/10.7554/ELIFE.72500" TargetMode="External"/><Relationship Id="rId38" Type="http://schemas.openxmlformats.org/officeDocument/2006/relationships/hyperlink" Target="https://doi.org/10.1148/radiol.211670" TargetMode="External"/><Relationship Id="rId39" Type="http://schemas.openxmlformats.org/officeDocument/2006/relationships/hyperlink" Target="https://doi.org/10.1183/23120541.00317-2022" TargetMode="External"/><Relationship Id="rId40" Type="http://schemas.openxmlformats.org/officeDocument/2006/relationships/hyperlink" Target="https://doi.org/10.1148/radiol.2462070712" TargetMode="External"/><Relationship Id="rId41" Type="http://schemas.openxmlformats.org/officeDocument/2006/relationships/hyperlink" Target="https://ggplot2.tidyverse.org/" TargetMode="External"/><Relationship Id="rId42" Type="http://schemas.openxmlformats.org/officeDocument/2006/relationships/hyperlink" Target="https://cran.r-project.org/web/packages/rlang/index.html" TargetMode="External"/><Relationship Id="rId43" Type="http://schemas.openxmlformats.org/officeDocument/2006/relationships/hyperlink" Target="https://cran.r-project.org/web/packages/stringi/index.html http://cran.ism.ac.jp/web/packages/stringi/stringi.pdf" TargetMode="External"/><Relationship Id="rId44" Type="http://schemas.openxmlformats.org/officeDocument/2006/relationships/hyperlink" Target="https://cran.r-project.org/package=furrr" TargetMode="External"/><Relationship Id="rId45" Type="http://schemas.openxmlformats.org/officeDocument/2006/relationships/hyperlink" Target="https://cran.r-project.org/web/packages/doParallel/index.html" TargetMode="External"/><Relationship Id="rId46" Type="http://schemas.openxmlformats.org/officeDocument/2006/relationships/hyperlink" Target="https://cran.r-project.org/package=rstatix" TargetMode="External"/><Relationship Id="rId47" Type="http://schemas.openxmlformats.org/officeDocument/2006/relationships/hyperlink" Target="https://cran.r-project.org/package=rcompanion" TargetMode="External"/><Relationship Id="rId48" Type="http://schemas.openxmlformats.org/officeDocument/2006/relationships/hyperlink" Target="https://cran.r-project.org/package=MASS" TargetMode="External"/><Relationship Id="rId49" Type="http://schemas.openxmlformats.org/officeDocument/2006/relationships/hyperlink" Target="https://doi.org/10.18637/jss.v028.i05" TargetMode="External"/><Relationship Id="rId50" Type="http://schemas.openxmlformats.org/officeDocument/2006/relationships/hyperlink" Target="https://doi.org/10.18637/jss.v061.i08" TargetMode="External"/><Relationship Id="rId51" Type="http://schemas.openxmlformats.org/officeDocument/2006/relationships/hyperlink" Target="https://doi.org/10.18637/JSS.V077.I01" TargetMode="External"/><Relationship Id="rId52" Type="http://schemas.openxmlformats.org/officeDocument/2006/relationships/hyperlink" Target="https://doi.org/10.1023/A:1010933404324" TargetMode="External"/><Relationship Id="rId53" Type="http://schemas.openxmlformats.org/officeDocument/2006/relationships/hyperlink" Target="https://doi.org/10.1017/CBO9780511812651" TargetMode="External"/><Relationship Id="rId54" Type="http://schemas.openxmlformats.org/officeDocument/2006/relationships/hyperlink" Target="https://doi.org/10.18637/JSS.V011.I09" TargetMode="External"/><Relationship Id="rId55" Type="http://schemas.openxmlformats.org/officeDocument/2006/relationships/hyperlink" Target="https://cran.r-project.org/package=gbm" TargetMode="External"/><Relationship Id="rId56" Type="http://schemas.openxmlformats.org/officeDocument/2006/relationships/hyperlink" Target="https://doi.org/10.1016/S0167-9473(01)00065-2" TargetMode="External"/><Relationship Id="rId57" Type="http://schemas.openxmlformats.org/officeDocument/2006/relationships/hyperlink" Target="https://doi.org/10.1214/AOS/1013203451" TargetMode="External"/><Relationship Id="rId58" Type="http://schemas.openxmlformats.org/officeDocument/2006/relationships/hyperlink" Target="https://arxiv.org/abs/2012.01536v3" TargetMode="External"/><Relationship Id="rId59" Type="http://schemas.openxmlformats.org/officeDocument/2006/relationships/hyperlink" Target="https://arxiv.org/abs/1705.07874v2" TargetMode="External"/><Relationship Id="rId60" Type="http://schemas.openxmlformats.org/officeDocument/2006/relationships/hyperlink" Target="https://cran.r-project.org/web/packages/shapviz/index.html" TargetMode="External"/><Relationship Id="rId61" Type="http://schemas.openxmlformats.org/officeDocument/2006/relationships/hyperlink" Target="https://cran.r-project.org/package=ggvenn" TargetMode="External"/><Relationship Id="rId62" Type="http://schemas.openxmlformats.org/officeDocument/2006/relationships/hyperlink" Target="https://doi.org/10.18637/jss.v079.c02" TargetMode="External"/><Relationship Id="rId63" Type="http://schemas.openxmlformats.org/officeDocument/2006/relationships/hyperlink" Target="https://cran.r-project.org/web/packages/kernelshap/index.html" TargetMode="External"/><Relationship Id="rId64" Type="http://schemas.openxmlformats.org/officeDocument/2006/relationships/hyperlink" Target="https://cran.r-project.org/web/packages/flextable/index.html" TargetMode="External"/><Relationship Id="rId65" Type="http://schemas.openxmlformats.org/officeDocument/2006/relationships/hyperlink" Target="https://cran.r-project.org/web/packages/rmarkdown/index.html" TargetMode="External"/><Relationship Id="rId66" Type="http://schemas.openxmlformats.org/officeDocument/2006/relationships/hyperlink" Target="https://doi.org/10.1201/9781315204963" TargetMode="External"/><Relationship Id="rId67" Type="http://schemas.openxmlformats.org/officeDocument/2006/relationships/hyperlink" Target="https://doi.org/10.1111/j.2517-6161.1995.tb02031.x" TargetMode="External"/><Relationship Id="rId68" Type="http://schemas.openxmlformats.org/officeDocument/2006/relationships/hyperlink" Target="https://doi.org/10.11613/bm.2012.031" TargetMode="External"/><Relationship Id="rId69" Type="http://schemas.openxmlformats.org/officeDocument/2006/relationships/hyperlink" Target="https://doi.org/10.4324/9780203771587" TargetMode="External"/><Relationship Id="rId70" Type="http://schemas.openxmlformats.org/officeDocument/2006/relationships/hyperlink" Target="https://doi.org/10.1177/001316446002000104" TargetMode="External"/><Relationship Id="rId71" Type="http://schemas.openxmlformats.org/officeDocument/2006/relationships/hyperlink" Target="https://doi.org/10.1175/1520-0493(1950)078&lt;0001:vofeit&gt;2.0.co;2" TargetMode="External"/><Relationship Id="rId72" Type="http://schemas.openxmlformats.org/officeDocument/2006/relationships/hyperlink" Target="https://library.virginia.edu/data/articles/a-brief-on-brier-scores" TargetMode="External"/><Relationship Id="rId73" Type="http://schemas.openxmlformats.org/officeDocument/2006/relationships/footer" Target="footer1.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Application>LibreOffice/7.0.5.2$Windows_X86_64 LibreOffice_project/64390860c6cd0aca4beafafcfd84613dd9dfb63a</Application>
  <AppVersion>15.0000</AppVersion>
  <Pages>57</Pages>
  <Words>11263</Words>
  <Characters>56637</Characters>
  <CharactersWithSpaces>66981</CharactersWithSpaces>
  <Paragraphs>969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2025-03-04T22:05:01Z</dcterms:created>
  <dc:creator>Department of Radiology, Medical University of Innsbruck</dc:creator>
  <dc:description/>
  <dc:language>en-US</dc:language>
  <cp:lastModifiedBy/>
  <dcterms:modified xsi:type="dcterms:W3CDTF">2025-03-04T23:10:58Z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2025-03-04</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